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A" w:rsidRPr="001A0792" w:rsidRDefault="0002340A" w:rsidP="0002340A">
      <w:pPr>
        <w:pStyle w:val="2"/>
        <w:jc w:val="center"/>
        <w:rPr>
          <w:b/>
          <w:sz w:val="26"/>
          <w:szCs w:val="26"/>
        </w:rPr>
      </w:pPr>
      <w:r w:rsidRPr="001A0792">
        <w:rPr>
          <w:b/>
          <w:sz w:val="26"/>
          <w:szCs w:val="26"/>
        </w:rPr>
        <w:t xml:space="preserve">Отчет об исполнении </w:t>
      </w:r>
    </w:p>
    <w:p w:rsidR="001A0792" w:rsidRDefault="0002340A" w:rsidP="0002340A">
      <w:pPr>
        <w:pStyle w:val="2"/>
        <w:jc w:val="center"/>
        <w:rPr>
          <w:b/>
          <w:sz w:val="26"/>
          <w:szCs w:val="26"/>
        </w:rPr>
      </w:pPr>
      <w:r w:rsidRPr="001A0792">
        <w:rPr>
          <w:b/>
          <w:sz w:val="26"/>
          <w:szCs w:val="26"/>
        </w:rPr>
        <w:t xml:space="preserve">бюджета </w:t>
      </w:r>
      <w:proofErr w:type="spellStart"/>
      <w:r w:rsidR="00B7065E" w:rsidRPr="001A0792">
        <w:rPr>
          <w:b/>
          <w:sz w:val="26"/>
          <w:szCs w:val="26"/>
        </w:rPr>
        <w:t>Цацинского</w:t>
      </w:r>
      <w:proofErr w:type="spellEnd"/>
      <w:r w:rsidRPr="001A0792">
        <w:rPr>
          <w:b/>
          <w:sz w:val="26"/>
          <w:szCs w:val="26"/>
        </w:rPr>
        <w:t xml:space="preserve"> сельского поселения</w:t>
      </w:r>
      <w:r w:rsidR="001A0792">
        <w:rPr>
          <w:b/>
          <w:sz w:val="26"/>
          <w:szCs w:val="26"/>
        </w:rPr>
        <w:t xml:space="preserve"> </w:t>
      </w:r>
    </w:p>
    <w:p w:rsidR="0002340A" w:rsidRPr="001A0792" w:rsidRDefault="001A0792" w:rsidP="0002340A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Светлоярского муниципального района Волгоградской области</w:t>
      </w:r>
    </w:p>
    <w:p w:rsidR="004424EE" w:rsidRPr="001A0792" w:rsidRDefault="00C270F8" w:rsidP="004424EE">
      <w:pPr>
        <w:pStyle w:val="2"/>
        <w:jc w:val="center"/>
        <w:rPr>
          <w:b/>
          <w:sz w:val="26"/>
          <w:szCs w:val="26"/>
        </w:rPr>
      </w:pPr>
      <w:r w:rsidRPr="001A0792">
        <w:rPr>
          <w:b/>
          <w:sz w:val="26"/>
          <w:szCs w:val="26"/>
        </w:rPr>
        <w:t>з</w:t>
      </w:r>
      <w:r w:rsidR="004424EE" w:rsidRPr="001A0792">
        <w:rPr>
          <w:b/>
          <w:sz w:val="26"/>
          <w:szCs w:val="26"/>
        </w:rPr>
        <w:t>а</w:t>
      </w:r>
      <w:r w:rsidRPr="001A0792">
        <w:rPr>
          <w:b/>
          <w:sz w:val="26"/>
          <w:szCs w:val="26"/>
        </w:rPr>
        <w:t xml:space="preserve"> </w:t>
      </w:r>
      <w:r w:rsidR="00573D9C" w:rsidRPr="001A0792">
        <w:rPr>
          <w:b/>
          <w:sz w:val="26"/>
          <w:szCs w:val="26"/>
        </w:rPr>
        <w:t>201</w:t>
      </w:r>
      <w:r w:rsidR="00A46F96">
        <w:rPr>
          <w:b/>
          <w:sz w:val="26"/>
          <w:szCs w:val="26"/>
        </w:rPr>
        <w:t>9</w:t>
      </w:r>
      <w:r w:rsidR="0002340A" w:rsidRPr="001A0792">
        <w:rPr>
          <w:b/>
          <w:sz w:val="26"/>
          <w:szCs w:val="26"/>
        </w:rPr>
        <w:t xml:space="preserve"> год</w:t>
      </w:r>
    </w:p>
    <w:p w:rsidR="002A08E0" w:rsidRPr="001A0792" w:rsidRDefault="002A08E0" w:rsidP="002A08E0">
      <w:pPr>
        <w:tabs>
          <w:tab w:val="left" w:pos="1140"/>
        </w:tabs>
        <w:ind w:firstLine="1140"/>
        <w:jc w:val="both"/>
        <w:rPr>
          <w:sz w:val="26"/>
          <w:szCs w:val="26"/>
        </w:rPr>
      </w:pPr>
    </w:p>
    <w:p w:rsidR="00F66837" w:rsidRPr="001A0792" w:rsidRDefault="00287FCF" w:rsidP="00F66837">
      <w:pPr>
        <w:tabs>
          <w:tab w:val="left" w:pos="1140"/>
        </w:tabs>
        <w:ind w:firstLine="709"/>
        <w:jc w:val="both"/>
        <w:rPr>
          <w:sz w:val="26"/>
          <w:szCs w:val="26"/>
        </w:rPr>
      </w:pPr>
      <w:proofErr w:type="gramStart"/>
      <w:r w:rsidRPr="001A0792">
        <w:rPr>
          <w:sz w:val="26"/>
          <w:szCs w:val="26"/>
        </w:rPr>
        <w:t xml:space="preserve">Исполнение бюджета </w:t>
      </w:r>
      <w:proofErr w:type="spellStart"/>
      <w:r w:rsidRPr="001A0792">
        <w:rPr>
          <w:sz w:val="26"/>
          <w:szCs w:val="26"/>
        </w:rPr>
        <w:t>Цацинского</w:t>
      </w:r>
      <w:proofErr w:type="spellEnd"/>
      <w:r w:rsidRPr="001A0792">
        <w:rPr>
          <w:sz w:val="26"/>
          <w:szCs w:val="26"/>
        </w:rPr>
        <w:t xml:space="preserve"> сельского поселения за 201</w:t>
      </w:r>
      <w:r w:rsidR="00A46F96">
        <w:rPr>
          <w:sz w:val="26"/>
          <w:szCs w:val="26"/>
        </w:rPr>
        <w:t>9</w:t>
      </w:r>
      <w:r w:rsidRPr="001A0792">
        <w:rPr>
          <w:sz w:val="26"/>
          <w:szCs w:val="26"/>
        </w:rPr>
        <w:t xml:space="preserve"> год осуществлялось в соответствии с решением Совета депутатов </w:t>
      </w:r>
      <w:proofErr w:type="spellStart"/>
      <w:r w:rsidRPr="001A0792">
        <w:rPr>
          <w:sz w:val="26"/>
          <w:szCs w:val="26"/>
        </w:rPr>
        <w:t>Цацинского</w:t>
      </w:r>
      <w:proofErr w:type="spellEnd"/>
      <w:r w:rsidRPr="001A0792">
        <w:rPr>
          <w:sz w:val="26"/>
          <w:szCs w:val="26"/>
        </w:rPr>
        <w:t xml:space="preserve"> сельского поселения от </w:t>
      </w:r>
      <w:r w:rsidR="00A46F96">
        <w:rPr>
          <w:sz w:val="26"/>
          <w:szCs w:val="26"/>
        </w:rPr>
        <w:t>26</w:t>
      </w:r>
      <w:r w:rsidRPr="001A0792">
        <w:rPr>
          <w:sz w:val="26"/>
          <w:szCs w:val="26"/>
        </w:rPr>
        <w:t>.12.201</w:t>
      </w:r>
      <w:r w:rsidR="00A46F96">
        <w:rPr>
          <w:sz w:val="26"/>
          <w:szCs w:val="26"/>
        </w:rPr>
        <w:t>8</w:t>
      </w:r>
      <w:r w:rsidRPr="001A0792">
        <w:rPr>
          <w:sz w:val="26"/>
          <w:szCs w:val="26"/>
        </w:rPr>
        <w:t xml:space="preserve"> № </w:t>
      </w:r>
      <w:r w:rsidR="00A46F96">
        <w:rPr>
          <w:sz w:val="26"/>
          <w:szCs w:val="26"/>
        </w:rPr>
        <w:t>72</w:t>
      </w:r>
      <w:r w:rsidRPr="001A0792">
        <w:rPr>
          <w:sz w:val="26"/>
          <w:szCs w:val="26"/>
        </w:rPr>
        <w:t>/</w:t>
      </w:r>
      <w:r w:rsidR="001A0792">
        <w:rPr>
          <w:sz w:val="26"/>
          <w:szCs w:val="26"/>
        </w:rPr>
        <w:t>1</w:t>
      </w:r>
      <w:r w:rsidR="00A46F96">
        <w:rPr>
          <w:sz w:val="26"/>
          <w:szCs w:val="26"/>
        </w:rPr>
        <w:t>90</w:t>
      </w:r>
      <w:r w:rsidRPr="001A0792">
        <w:rPr>
          <w:sz w:val="26"/>
          <w:szCs w:val="26"/>
        </w:rPr>
        <w:t xml:space="preserve"> «О бюджете </w:t>
      </w:r>
      <w:proofErr w:type="spellStart"/>
      <w:r w:rsidRPr="001A0792">
        <w:rPr>
          <w:sz w:val="26"/>
          <w:szCs w:val="26"/>
        </w:rPr>
        <w:t>Цацинского</w:t>
      </w:r>
      <w:proofErr w:type="spellEnd"/>
      <w:r w:rsidRPr="001A0792">
        <w:rPr>
          <w:sz w:val="26"/>
          <w:szCs w:val="26"/>
        </w:rPr>
        <w:t xml:space="preserve"> сельского поселения на 201</w:t>
      </w:r>
      <w:r w:rsidR="00A46F96">
        <w:rPr>
          <w:sz w:val="26"/>
          <w:szCs w:val="26"/>
        </w:rPr>
        <w:t>9</w:t>
      </w:r>
      <w:r w:rsidRPr="001A0792">
        <w:rPr>
          <w:sz w:val="26"/>
          <w:szCs w:val="26"/>
        </w:rPr>
        <w:t xml:space="preserve"> год и плановый период 20</w:t>
      </w:r>
      <w:r w:rsidR="00A46F96">
        <w:rPr>
          <w:sz w:val="26"/>
          <w:szCs w:val="26"/>
        </w:rPr>
        <w:t>20</w:t>
      </w:r>
      <w:r w:rsidRPr="001A0792">
        <w:rPr>
          <w:sz w:val="26"/>
          <w:szCs w:val="26"/>
        </w:rPr>
        <w:t xml:space="preserve"> и 20</w:t>
      </w:r>
      <w:r w:rsidR="00731672">
        <w:rPr>
          <w:sz w:val="26"/>
          <w:szCs w:val="26"/>
        </w:rPr>
        <w:t>2</w:t>
      </w:r>
      <w:r w:rsidR="00A46F96">
        <w:rPr>
          <w:sz w:val="26"/>
          <w:szCs w:val="26"/>
        </w:rPr>
        <w:t>1</w:t>
      </w:r>
      <w:r w:rsidRPr="001A0792">
        <w:rPr>
          <w:sz w:val="26"/>
          <w:szCs w:val="26"/>
        </w:rPr>
        <w:t xml:space="preserve"> годов», </w:t>
      </w:r>
      <w:r w:rsidR="00F66837" w:rsidRPr="001A0792">
        <w:rPr>
          <w:sz w:val="26"/>
          <w:szCs w:val="26"/>
        </w:rPr>
        <w:t xml:space="preserve">согласно которого бюджет поселения по доходам утверждён в сумме </w:t>
      </w:r>
      <w:r w:rsidR="00A46F96">
        <w:rPr>
          <w:sz w:val="26"/>
          <w:szCs w:val="26"/>
        </w:rPr>
        <w:t>6 146,2</w:t>
      </w:r>
      <w:r w:rsidR="00F66837" w:rsidRPr="001A0792">
        <w:rPr>
          <w:sz w:val="26"/>
          <w:szCs w:val="26"/>
        </w:rPr>
        <w:t xml:space="preserve"> тыс. рублей, по расходам </w:t>
      </w:r>
      <w:r w:rsidR="00A46F96">
        <w:rPr>
          <w:sz w:val="26"/>
          <w:szCs w:val="26"/>
        </w:rPr>
        <w:t>6 146,2</w:t>
      </w:r>
      <w:r w:rsidR="00F66837" w:rsidRPr="001A0792">
        <w:rPr>
          <w:sz w:val="26"/>
          <w:szCs w:val="26"/>
        </w:rPr>
        <w:t xml:space="preserve"> тыс. рублей, дефицит бюджета - 0</w:t>
      </w:r>
      <w:r w:rsidR="00B405E0" w:rsidRPr="001A0792">
        <w:rPr>
          <w:sz w:val="26"/>
          <w:szCs w:val="26"/>
        </w:rPr>
        <w:t>,0 тыс</w:t>
      </w:r>
      <w:proofErr w:type="gramEnd"/>
      <w:r w:rsidR="00B405E0" w:rsidRPr="001A0792">
        <w:rPr>
          <w:sz w:val="26"/>
          <w:szCs w:val="26"/>
        </w:rPr>
        <w:t>. рублей</w:t>
      </w:r>
      <w:r w:rsidR="00F66837" w:rsidRPr="001A0792">
        <w:rPr>
          <w:sz w:val="26"/>
          <w:szCs w:val="26"/>
        </w:rPr>
        <w:t>.</w:t>
      </w:r>
    </w:p>
    <w:p w:rsidR="00287FCF" w:rsidRPr="001A0792" w:rsidRDefault="00287FCF" w:rsidP="00287FCF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1A0792">
        <w:rPr>
          <w:sz w:val="26"/>
          <w:szCs w:val="26"/>
        </w:rPr>
        <w:t xml:space="preserve">В ходе исполнения внесены изменения в утверждённые бюджетные назначения в соответствии с решениями Совета депутатов </w:t>
      </w:r>
      <w:proofErr w:type="spellStart"/>
      <w:r w:rsidRPr="001A0792">
        <w:rPr>
          <w:sz w:val="26"/>
          <w:szCs w:val="26"/>
        </w:rPr>
        <w:t>Цацинского</w:t>
      </w:r>
      <w:proofErr w:type="spellEnd"/>
      <w:r w:rsidRPr="001A0792">
        <w:rPr>
          <w:sz w:val="26"/>
          <w:szCs w:val="26"/>
        </w:rPr>
        <w:t xml:space="preserve"> сельского поселения от </w:t>
      </w:r>
      <w:r w:rsidR="00731672">
        <w:rPr>
          <w:sz w:val="26"/>
          <w:szCs w:val="26"/>
        </w:rPr>
        <w:t>3</w:t>
      </w:r>
      <w:r w:rsidR="00A46F96">
        <w:rPr>
          <w:sz w:val="26"/>
          <w:szCs w:val="26"/>
        </w:rPr>
        <w:t>1</w:t>
      </w:r>
      <w:r w:rsidRPr="001A0792">
        <w:rPr>
          <w:sz w:val="26"/>
          <w:szCs w:val="26"/>
        </w:rPr>
        <w:t>.0</w:t>
      </w:r>
      <w:r w:rsidR="00731672">
        <w:rPr>
          <w:sz w:val="26"/>
          <w:szCs w:val="26"/>
        </w:rPr>
        <w:t>5</w:t>
      </w:r>
      <w:r w:rsidRPr="001A0792">
        <w:rPr>
          <w:sz w:val="26"/>
          <w:szCs w:val="26"/>
        </w:rPr>
        <w:t>.201</w:t>
      </w:r>
      <w:r w:rsidR="00A46F96">
        <w:rPr>
          <w:sz w:val="26"/>
          <w:szCs w:val="26"/>
        </w:rPr>
        <w:t>9</w:t>
      </w:r>
      <w:r w:rsidR="001A0792">
        <w:rPr>
          <w:sz w:val="26"/>
          <w:szCs w:val="26"/>
        </w:rPr>
        <w:t xml:space="preserve"> </w:t>
      </w:r>
      <w:r w:rsidRPr="001A0792">
        <w:rPr>
          <w:sz w:val="26"/>
          <w:szCs w:val="26"/>
        </w:rPr>
        <w:t xml:space="preserve">№ </w:t>
      </w:r>
      <w:r w:rsidR="00A46F96">
        <w:rPr>
          <w:sz w:val="26"/>
          <w:szCs w:val="26"/>
        </w:rPr>
        <w:t>80</w:t>
      </w:r>
      <w:r w:rsidR="001A0792">
        <w:rPr>
          <w:sz w:val="26"/>
          <w:szCs w:val="26"/>
        </w:rPr>
        <w:t>/</w:t>
      </w:r>
      <w:r w:rsidR="00A46F96">
        <w:rPr>
          <w:sz w:val="26"/>
          <w:szCs w:val="26"/>
        </w:rPr>
        <w:t>212</w:t>
      </w:r>
      <w:r w:rsidRPr="001A0792">
        <w:rPr>
          <w:sz w:val="26"/>
          <w:szCs w:val="26"/>
        </w:rPr>
        <w:t xml:space="preserve">, от </w:t>
      </w:r>
      <w:r w:rsidR="00A46F96">
        <w:rPr>
          <w:sz w:val="26"/>
          <w:szCs w:val="26"/>
        </w:rPr>
        <w:t>05</w:t>
      </w:r>
      <w:r w:rsidR="001A0792">
        <w:rPr>
          <w:sz w:val="26"/>
          <w:szCs w:val="26"/>
        </w:rPr>
        <w:t>.</w:t>
      </w:r>
      <w:r w:rsidR="00731672">
        <w:rPr>
          <w:sz w:val="26"/>
          <w:szCs w:val="26"/>
        </w:rPr>
        <w:t>12</w:t>
      </w:r>
      <w:r w:rsidR="001A0792">
        <w:rPr>
          <w:sz w:val="26"/>
          <w:szCs w:val="26"/>
        </w:rPr>
        <w:t>.201</w:t>
      </w:r>
      <w:r w:rsidR="00A46F96">
        <w:rPr>
          <w:sz w:val="26"/>
          <w:szCs w:val="26"/>
        </w:rPr>
        <w:t>9</w:t>
      </w:r>
      <w:r w:rsidRPr="001A0792">
        <w:rPr>
          <w:sz w:val="26"/>
          <w:szCs w:val="26"/>
        </w:rPr>
        <w:t xml:space="preserve"> № </w:t>
      </w:r>
      <w:r w:rsidR="001A0792">
        <w:rPr>
          <w:sz w:val="26"/>
          <w:szCs w:val="26"/>
        </w:rPr>
        <w:t>7</w:t>
      </w:r>
      <w:r w:rsidR="00A46F96">
        <w:rPr>
          <w:sz w:val="26"/>
          <w:szCs w:val="26"/>
        </w:rPr>
        <w:t>8/21</w:t>
      </w:r>
      <w:r w:rsidR="001A0792">
        <w:rPr>
          <w:sz w:val="26"/>
          <w:szCs w:val="26"/>
        </w:rPr>
        <w:t>.</w:t>
      </w:r>
    </w:p>
    <w:p w:rsidR="00F66837" w:rsidRPr="001A0792" w:rsidRDefault="00F66837" w:rsidP="00F6683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1A0792">
        <w:rPr>
          <w:sz w:val="26"/>
          <w:szCs w:val="26"/>
        </w:rPr>
        <w:t xml:space="preserve">С учетом внесённых изменений уточнённый план по доходам составил </w:t>
      </w:r>
      <w:r w:rsidR="00CD27DC">
        <w:rPr>
          <w:sz w:val="26"/>
          <w:szCs w:val="26"/>
        </w:rPr>
        <w:t>7 955,0</w:t>
      </w:r>
      <w:r w:rsidR="00573D9C" w:rsidRPr="006910CE">
        <w:rPr>
          <w:sz w:val="26"/>
          <w:szCs w:val="26"/>
        </w:rPr>
        <w:t xml:space="preserve"> </w:t>
      </w:r>
      <w:r w:rsidRPr="006910CE">
        <w:rPr>
          <w:sz w:val="26"/>
          <w:szCs w:val="26"/>
        </w:rPr>
        <w:t xml:space="preserve">тыс. рублей, по расходам </w:t>
      </w:r>
      <w:r w:rsidR="00EB24BE" w:rsidRPr="006910CE">
        <w:rPr>
          <w:sz w:val="26"/>
          <w:szCs w:val="26"/>
        </w:rPr>
        <w:t>–</w:t>
      </w:r>
      <w:r w:rsidR="00B405E0" w:rsidRPr="006910CE">
        <w:rPr>
          <w:sz w:val="26"/>
          <w:szCs w:val="26"/>
        </w:rPr>
        <w:t xml:space="preserve"> </w:t>
      </w:r>
      <w:r w:rsidR="00CD27DC">
        <w:rPr>
          <w:sz w:val="26"/>
          <w:szCs w:val="26"/>
        </w:rPr>
        <w:t>9 043,2</w:t>
      </w:r>
      <w:r w:rsidRPr="006910CE">
        <w:rPr>
          <w:sz w:val="26"/>
          <w:szCs w:val="26"/>
        </w:rPr>
        <w:t xml:space="preserve"> тыс. рублей, дефицит бюджета </w:t>
      </w:r>
      <w:r w:rsidR="006910CE" w:rsidRPr="006910CE">
        <w:rPr>
          <w:sz w:val="26"/>
          <w:szCs w:val="26"/>
        </w:rPr>
        <w:t>–</w:t>
      </w:r>
      <w:r w:rsidRPr="006910CE">
        <w:rPr>
          <w:sz w:val="26"/>
          <w:szCs w:val="26"/>
        </w:rPr>
        <w:t xml:space="preserve"> </w:t>
      </w:r>
      <w:r w:rsidR="00CD27DC">
        <w:rPr>
          <w:sz w:val="26"/>
          <w:szCs w:val="26"/>
        </w:rPr>
        <w:t>1 088,2</w:t>
      </w:r>
      <w:r w:rsidR="00B405E0" w:rsidRPr="001A0792">
        <w:rPr>
          <w:sz w:val="26"/>
          <w:szCs w:val="26"/>
        </w:rPr>
        <w:t xml:space="preserve"> тыс. рублей</w:t>
      </w:r>
      <w:r w:rsidRPr="001A0792">
        <w:rPr>
          <w:sz w:val="26"/>
          <w:szCs w:val="26"/>
        </w:rPr>
        <w:t>.</w:t>
      </w:r>
    </w:p>
    <w:p w:rsidR="00F66837" w:rsidRPr="001A0792" w:rsidRDefault="00F66837" w:rsidP="00F6683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1A0792">
        <w:rPr>
          <w:sz w:val="26"/>
          <w:szCs w:val="26"/>
        </w:rPr>
        <w:t xml:space="preserve">В </w:t>
      </w:r>
      <w:r w:rsidR="00A468DB" w:rsidRPr="001A0792">
        <w:rPr>
          <w:sz w:val="26"/>
          <w:szCs w:val="26"/>
        </w:rPr>
        <w:t>201</w:t>
      </w:r>
      <w:r w:rsidR="001D6C7E">
        <w:rPr>
          <w:sz w:val="26"/>
          <w:szCs w:val="26"/>
        </w:rPr>
        <w:t>9</w:t>
      </w:r>
      <w:r w:rsidRPr="001A0792">
        <w:rPr>
          <w:sz w:val="26"/>
          <w:szCs w:val="26"/>
        </w:rPr>
        <w:t xml:space="preserve"> году исполнение местного бюджета осуществлялось в рамках мероприятий, направленных на сохранение стабильности финансовой системы поселения.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F66837" w:rsidRPr="001A0792" w:rsidRDefault="00F66837" w:rsidP="00F66837">
      <w:pPr>
        <w:pStyle w:val="2"/>
        <w:ind w:firstLine="709"/>
        <w:jc w:val="both"/>
        <w:rPr>
          <w:sz w:val="26"/>
          <w:szCs w:val="26"/>
        </w:rPr>
      </w:pPr>
      <w:r w:rsidRPr="001A0792">
        <w:rPr>
          <w:sz w:val="26"/>
          <w:szCs w:val="26"/>
        </w:rPr>
        <w:t>Основными итогами исполнения бюджета</w:t>
      </w:r>
      <w:r w:rsidRPr="001A0792">
        <w:rPr>
          <w:b/>
          <w:sz w:val="26"/>
          <w:szCs w:val="26"/>
        </w:rPr>
        <w:t xml:space="preserve"> </w:t>
      </w:r>
      <w:proofErr w:type="spellStart"/>
      <w:r w:rsidRPr="001A0792">
        <w:rPr>
          <w:sz w:val="26"/>
          <w:szCs w:val="26"/>
        </w:rPr>
        <w:t>Цацинского</w:t>
      </w:r>
      <w:proofErr w:type="spellEnd"/>
      <w:r w:rsidRPr="001A0792">
        <w:rPr>
          <w:sz w:val="26"/>
          <w:szCs w:val="26"/>
        </w:rPr>
        <w:t xml:space="preserve"> сельского поселения за </w:t>
      </w:r>
      <w:r w:rsidR="00A468DB" w:rsidRPr="001A0792">
        <w:rPr>
          <w:sz w:val="26"/>
          <w:szCs w:val="26"/>
        </w:rPr>
        <w:t>201</w:t>
      </w:r>
      <w:r w:rsidR="001D6C7E">
        <w:rPr>
          <w:sz w:val="26"/>
          <w:szCs w:val="26"/>
        </w:rPr>
        <w:t>9</w:t>
      </w:r>
      <w:r w:rsidRPr="001A0792">
        <w:rPr>
          <w:sz w:val="26"/>
          <w:szCs w:val="26"/>
        </w:rPr>
        <w:t xml:space="preserve"> год являются:</w:t>
      </w:r>
    </w:p>
    <w:p w:rsidR="00F66837" w:rsidRPr="001120FA" w:rsidRDefault="00F66837" w:rsidP="00F66837">
      <w:pPr>
        <w:rPr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99"/>
      </w:tblGrid>
      <w:tr w:rsidR="00F66837" w:rsidRPr="001A0792" w:rsidTr="00731672">
        <w:trPr>
          <w:trHeight w:val="157"/>
        </w:trPr>
        <w:tc>
          <w:tcPr>
            <w:tcW w:w="4573" w:type="dxa"/>
            <w:shd w:val="clear" w:color="auto" w:fill="auto"/>
          </w:tcPr>
          <w:p w:rsidR="00F66837" w:rsidRPr="001A0792" w:rsidRDefault="00F66837" w:rsidP="00B405E0">
            <w:pPr>
              <w:rPr>
                <w:b/>
              </w:rPr>
            </w:pPr>
            <w:r w:rsidRPr="001A0792">
              <w:rPr>
                <w:b/>
              </w:rPr>
              <w:t xml:space="preserve">Наименование </w:t>
            </w:r>
          </w:p>
        </w:tc>
        <w:tc>
          <w:tcPr>
            <w:tcW w:w="4499" w:type="dxa"/>
            <w:shd w:val="clear" w:color="auto" w:fill="auto"/>
          </w:tcPr>
          <w:p w:rsidR="00F66837" w:rsidRPr="001A0792" w:rsidRDefault="00F66837" w:rsidP="00B405E0">
            <w:pPr>
              <w:rPr>
                <w:b/>
              </w:rPr>
            </w:pPr>
            <w:r w:rsidRPr="001A0792">
              <w:rPr>
                <w:b/>
              </w:rPr>
              <w:t>Исполнение (тыс. рублей)</w:t>
            </w:r>
          </w:p>
        </w:tc>
      </w:tr>
      <w:tr w:rsidR="00F66837" w:rsidRPr="001A0792" w:rsidTr="00731672">
        <w:trPr>
          <w:trHeight w:val="329"/>
        </w:trPr>
        <w:tc>
          <w:tcPr>
            <w:tcW w:w="4573" w:type="dxa"/>
            <w:shd w:val="clear" w:color="auto" w:fill="auto"/>
          </w:tcPr>
          <w:p w:rsidR="00F66837" w:rsidRPr="001A0792" w:rsidRDefault="00F66837" w:rsidP="00B405E0">
            <w:pPr>
              <w:rPr>
                <w:sz w:val="24"/>
                <w:szCs w:val="24"/>
              </w:rPr>
            </w:pPr>
            <w:r w:rsidRPr="001A0792">
              <w:rPr>
                <w:sz w:val="24"/>
                <w:szCs w:val="24"/>
              </w:rPr>
              <w:t>Доходы</w:t>
            </w:r>
          </w:p>
        </w:tc>
        <w:tc>
          <w:tcPr>
            <w:tcW w:w="4499" w:type="dxa"/>
            <w:shd w:val="clear" w:color="auto" w:fill="auto"/>
          </w:tcPr>
          <w:p w:rsidR="00F66837" w:rsidRPr="00823D1D" w:rsidRDefault="00882F80" w:rsidP="0088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6C7E">
              <w:rPr>
                <w:sz w:val="24"/>
                <w:szCs w:val="24"/>
              </w:rPr>
              <w:t> 059,6</w:t>
            </w:r>
          </w:p>
        </w:tc>
      </w:tr>
      <w:tr w:rsidR="00F66837" w:rsidRPr="001A0792" w:rsidTr="00731672">
        <w:trPr>
          <w:trHeight w:val="277"/>
        </w:trPr>
        <w:tc>
          <w:tcPr>
            <w:tcW w:w="4573" w:type="dxa"/>
            <w:shd w:val="clear" w:color="auto" w:fill="auto"/>
          </w:tcPr>
          <w:p w:rsidR="00F66837" w:rsidRPr="001A0792" w:rsidRDefault="00F66837" w:rsidP="00B405E0">
            <w:pPr>
              <w:rPr>
                <w:sz w:val="24"/>
                <w:szCs w:val="24"/>
              </w:rPr>
            </w:pPr>
            <w:r w:rsidRPr="001A0792">
              <w:rPr>
                <w:sz w:val="24"/>
                <w:szCs w:val="24"/>
              </w:rPr>
              <w:t>Расходы</w:t>
            </w:r>
          </w:p>
        </w:tc>
        <w:tc>
          <w:tcPr>
            <w:tcW w:w="4499" w:type="dxa"/>
            <w:shd w:val="clear" w:color="auto" w:fill="auto"/>
          </w:tcPr>
          <w:p w:rsidR="00F66837" w:rsidRPr="00A46FDA" w:rsidRDefault="001D6C7E" w:rsidP="00B4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8 615,6</w:t>
            </w:r>
          </w:p>
        </w:tc>
      </w:tr>
      <w:tr w:rsidR="00F66837" w:rsidRPr="001A0792" w:rsidTr="00731672">
        <w:trPr>
          <w:trHeight w:val="267"/>
        </w:trPr>
        <w:tc>
          <w:tcPr>
            <w:tcW w:w="4573" w:type="dxa"/>
            <w:shd w:val="clear" w:color="auto" w:fill="auto"/>
          </w:tcPr>
          <w:p w:rsidR="00F66837" w:rsidRPr="00823D1D" w:rsidRDefault="00104E07" w:rsidP="00104E07">
            <w:pPr>
              <w:rPr>
                <w:sz w:val="24"/>
                <w:szCs w:val="24"/>
              </w:rPr>
            </w:pPr>
            <w:r w:rsidRPr="00823D1D">
              <w:rPr>
                <w:sz w:val="24"/>
                <w:szCs w:val="24"/>
              </w:rPr>
              <w:t>Дефицит</w:t>
            </w:r>
            <w:proofErr w:type="gramStart"/>
            <w:r w:rsidR="00F66837" w:rsidRPr="00823D1D">
              <w:rPr>
                <w:sz w:val="24"/>
                <w:szCs w:val="24"/>
              </w:rPr>
              <w:t xml:space="preserve"> (</w:t>
            </w:r>
            <w:r w:rsidRPr="00823D1D">
              <w:rPr>
                <w:sz w:val="24"/>
                <w:szCs w:val="24"/>
              </w:rPr>
              <w:t>-</w:t>
            </w:r>
            <w:r w:rsidR="00F66837" w:rsidRPr="00823D1D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4499" w:type="dxa"/>
            <w:shd w:val="clear" w:color="auto" w:fill="auto"/>
          </w:tcPr>
          <w:p w:rsidR="00F66837" w:rsidRPr="00823D1D" w:rsidRDefault="00823D1D" w:rsidP="001D6C7E">
            <w:pPr>
              <w:rPr>
                <w:sz w:val="24"/>
                <w:szCs w:val="24"/>
              </w:rPr>
            </w:pPr>
            <w:r w:rsidRPr="00823D1D">
              <w:rPr>
                <w:sz w:val="24"/>
                <w:szCs w:val="24"/>
              </w:rPr>
              <w:t>-</w:t>
            </w:r>
            <w:r w:rsidR="001D6C7E">
              <w:rPr>
                <w:sz w:val="24"/>
                <w:szCs w:val="24"/>
              </w:rPr>
              <w:t>556,0</w:t>
            </w:r>
          </w:p>
        </w:tc>
      </w:tr>
    </w:tbl>
    <w:p w:rsidR="00F66837" w:rsidRDefault="00F66837" w:rsidP="00F66837">
      <w:pPr>
        <w:tabs>
          <w:tab w:val="left" w:pos="1140"/>
        </w:tabs>
        <w:ind w:firstLine="1140"/>
        <w:jc w:val="both"/>
        <w:rPr>
          <w:sz w:val="28"/>
          <w:szCs w:val="28"/>
        </w:rPr>
      </w:pPr>
    </w:p>
    <w:p w:rsidR="0011281A" w:rsidRPr="001A0792" w:rsidRDefault="00EB24BE" w:rsidP="00EB24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поселения</w:t>
      </w:r>
    </w:p>
    <w:p w:rsidR="0011281A" w:rsidRPr="001A0792" w:rsidRDefault="0011281A" w:rsidP="0011281A">
      <w:pPr>
        <w:ind w:firstLine="709"/>
        <w:jc w:val="center"/>
        <w:rPr>
          <w:b/>
          <w:sz w:val="26"/>
          <w:szCs w:val="26"/>
        </w:rPr>
      </w:pPr>
    </w:p>
    <w:p w:rsidR="00D45010" w:rsidRPr="001A0792" w:rsidRDefault="00D45010" w:rsidP="00D4501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0792">
        <w:rPr>
          <w:sz w:val="26"/>
          <w:szCs w:val="26"/>
        </w:rPr>
        <w:t xml:space="preserve">В бюджет </w:t>
      </w:r>
      <w:proofErr w:type="spellStart"/>
      <w:r w:rsidR="00B7065E" w:rsidRPr="001A0792">
        <w:rPr>
          <w:sz w:val="26"/>
          <w:szCs w:val="26"/>
        </w:rPr>
        <w:t>Цацинского</w:t>
      </w:r>
      <w:proofErr w:type="spellEnd"/>
      <w:r w:rsidRPr="001A0792">
        <w:rPr>
          <w:sz w:val="26"/>
          <w:szCs w:val="26"/>
        </w:rPr>
        <w:t xml:space="preserve"> сельского поселения</w:t>
      </w:r>
      <w:r w:rsidR="002A0AD2" w:rsidRPr="001A0792">
        <w:rPr>
          <w:sz w:val="26"/>
          <w:szCs w:val="26"/>
        </w:rPr>
        <w:t xml:space="preserve"> за</w:t>
      </w:r>
      <w:r w:rsidRPr="001A0792">
        <w:rPr>
          <w:sz w:val="26"/>
          <w:szCs w:val="26"/>
        </w:rPr>
        <w:t xml:space="preserve"> </w:t>
      </w:r>
      <w:r w:rsidR="00A468DB" w:rsidRPr="001A0792">
        <w:rPr>
          <w:sz w:val="26"/>
          <w:szCs w:val="26"/>
        </w:rPr>
        <w:t>201</w:t>
      </w:r>
      <w:r w:rsidR="001D6C7E">
        <w:rPr>
          <w:sz w:val="26"/>
          <w:szCs w:val="26"/>
        </w:rPr>
        <w:t>9</w:t>
      </w:r>
      <w:r w:rsidRPr="001A0792">
        <w:rPr>
          <w:sz w:val="26"/>
          <w:szCs w:val="26"/>
        </w:rPr>
        <w:t xml:space="preserve"> год поступило доходов в сумме </w:t>
      </w:r>
      <w:r w:rsidR="001D6C7E">
        <w:rPr>
          <w:sz w:val="26"/>
          <w:szCs w:val="26"/>
        </w:rPr>
        <w:t>8 059,6</w:t>
      </w:r>
      <w:r w:rsidRPr="001A0792">
        <w:rPr>
          <w:sz w:val="26"/>
          <w:szCs w:val="26"/>
        </w:rPr>
        <w:t xml:space="preserve"> тыс. рублей, исполнение бюджетных назначений составило </w:t>
      </w:r>
      <w:r w:rsidR="001D6C7E">
        <w:rPr>
          <w:sz w:val="26"/>
          <w:szCs w:val="26"/>
        </w:rPr>
        <w:t>101,3</w:t>
      </w:r>
      <w:r w:rsidRPr="001A0792">
        <w:rPr>
          <w:sz w:val="26"/>
          <w:szCs w:val="26"/>
        </w:rPr>
        <w:t>%.</w:t>
      </w:r>
    </w:p>
    <w:p w:rsidR="00D45010" w:rsidRPr="001A0792" w:rsidRDefault="00D45010" w:rsidP="00D45010">
      <w:pPr>
        <w:ind w:firstLine="709"/>
        <w:jc w:val="both"/>
        <w:rPr>
          <w:sz w:val="26"/>
          <w:szCs w:val="26"/>
        </w:rPr>
      </w:pPr>
      <w:r w:rsidRPr="001A0792">
        <w:rPr>
          <w:sz w:val="26"/>
          <w:szCs w:val="26"/>
        </w:rPr>
        <w:t xml:space="preserve">Налоговые и неналоговые доходы (собственные доходы) составляют </w:t>
      </w:r>
      <w:r w:rsidR="00924BFE">
        <w:rPr>
          <w:sz w:val="26"/>
          <w:szCs w:val="26"/>
        </w:rPr>
        <w:t>27,4</w:t>
      </w:r>
      <w:r w:rsidRPr="001A0792">
        <w:rPr>
          <w:sz w:val="26"/>
          <w:szCs w:val="26"/>
        </w:rPr>
        <w:t xml:space="preserve">% от общего поступления доходов поселения.  Безвозмездные поступления составляют </w:t>
      </w:r>
      <w:r w:rsidR="00924BFE">
        <w:rPr>
          <w:sz w:val="26"/>
          <w:szCs w:val="26"/>
        </w:rPr>
        <w:t>72,6</w:t>
      </w:r>
      <w:r w:rsidRPr="001A0792">
        <w:rPr>
          <w:sz w:val="26"/>
          <w:szCs w:val="26"/>
        </w:rPr>
        <w:t>%  от общих доходов бюджета.</w:t>
      </w:r>
    </w:p>
    <w:p w:rsidR="0011281A" w:rsidRPr="001A0792" w:rsidRDefault="0011281A" w:rsidP="0011281A">
      <w:pPr>
        <w:jc w:val="both"/>
        <w:rPr>
          <w:sz w:val="26"/>
          <w:szCs w:val="26"/>
        </w:rPr>
      </w:pPr>
      <w:r w:rsidRPr="001A0792">
        <w:rPr>
          <w:sz w:val="26"/>
          <w:szCs w:val="26"/>
        </w:rPr>
        <w:t xml:space="preserve">        Структура собственных доходов бюджета </w:t>
      </w:r>
      <w:proofErr w:type="spellStart"/>
      <w:r w:rsidR="00B7065E" w:rsidRPr="001A0792">
        <w:rPr>
          <w:sz w:val="26"/>
          <w:szCs w:val="26"/>
        </w:rPr>
        <w:t>Цацинского</w:t>
      </w:r>
      <w:proofErr w:type="spellEnd"/>
      <w:r w:rsidRPr="001A0792">
        <w:rPr>
          <w:sz w:val="26"/>
          <w:szCs w:val="26"/>
        </w:rPr>
        <w:t xml:space="preserve"> сельского поселения за </w:t>
      </w:r>
      <w:r w:rsidR="00A468DB" w:rsidRPr="001A0792">
        <w:rPr>
          <w:sz w:val="26"/>
          <w:szCs w:val="26"/>
        </w:rPr>
        <w:t>201</w:t>
      </w:r>
      <w:r w:rsidR="00924BFE">
        <w:rPr>
          <w:sz w:val="26"/>
          <w:szCs w:val="26"/>
        </w:rPr>
        <w:t>9</w:t>
      </w:r>
      <w:r w:rsidRPr="001A0792">
        <w:rPr>
          <w:sz w:val="26"/>
          <w:szCs w:val="26"/>
        </w:rPr>
        <w:t xml:space="preserve"> год представлена на рис. 1.</w:t>
      </w:r>
    </w:p>
    <w:p w:rsidR="0011281A" w:rsidRPr="001A0792" w:rsidRDefault="0011281A" w:rsidP="0011281A">
      <w:pPr>
        <w:jc w:val="both"/>
        <w:rPr>
          <w:sz w:val="26"/>
          <w:szCs w:val="26"/>
        </w:rPr>
      </w:pPr>
    </w:p>
    <w:p w:rsidR="00084518" w:rsidRPr="001A0792" w:rsidRDefault="00084518" w:rsidP="0011281A">
      <w:pPr>
        <w:jc w:val="both"/>
        <w:rPr>
          <w:sz w:val="26"/>
          <w:szCs w:val="26"/>
        </w:rPr>
      </w:pPr>
    </w:p>
    <w:p w:rsidR="00084518" w:rsidRPr="001A0792" w:rsidRDefault="00084518" w:rsidP="0011281A">
      <w:pPr>
        <w:jc w:val="both"/>
        <w:rPr>
          <w:sz w:val="26"/>
          <w:szCs w:val="26"/>
        </w:rPr>
      </w:pPr>
    </w:p>
    <w:p w:rsidR="00084518" w:rsidRPr="001A0792" w:rsidRDefault="00072C46" w:rsidP="0011281A">
      <w:pPr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3622DA4" wp14:editId="48E4AE91">
            <wp:extent cx="5303520" cy="231330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42CB" w:rsidRDefault="00084518" w:rsidP="00084518">
      <w:pPr>
        <w:ind w:firstLine="142"/>
        <w:jc w:val="center"/>
        <w:rPr>
          <w:b/>
          <w:sz w:val="24"/>
          <w:szCs w:val="24"/>
        </w:rPr>
      </w:pPr>
      <w:r w:rsidRPr="001A0792">
        <w:rPr>
          <w:b/>
          <w:sz w:val="24"/>
          <w:szCs w:val="24"/>
        </w:rPr>
        <w:t xml:space="preserve">Рис.1. Структура собственных доходов бюджета </w:t>
      </w:r>
    </w:p>
    <w:p w:rsidR="00084518" w:rsidRPr="001A0792" w:rsidRDefault="00084518" w:rsidP="00084518">
      <w:pPr>
        <w:ind w:firstLine="142"/>
        <w:jc w:val="center"/>
        <w:rPr>
          <w:b/>
          <w:sz w:val="24"/>
          <w:szCs w:val="24"/>
        </w:rPr>
      </w:pPr>
      <w:proofErr w:type="spellStart"/>
      <w:r w:rsidRPr="001A0792">
        <w:rPr>
          <w:b/>
          <w:sz w:val="24"/>
          <w:szCs w:val="24"/>
        </w:rPr>
        <w:t>Цацинского</w:t>
      </w:r>
      <w:proofErr w:type="spellEnd"/>
      <w:r w:rsidRPr="001A0792">
        <w:rPr>
          <w:b/>
          <w:sz w:val="24"/>
          <w:szCs w:val="24"/>
        </w:rPr>
        <w:t xml:space="preserve"> сельского поселения за </w:t>
      </w:r>
      <w:r w:rsidR="00A468DB" w:rsidRPr="001A0792">
        <w:rPr>
          <w:b/>
          <w:sz w:val="24"/>
          <w:szCs w:val="24"/>
        </w:rPr>
        <w:t>201</w:t>
      </w:r>
      <w:r w:rsidR="00924BFE">
        <w:rPr>
          <w:b/>
          <w:sz w:val="24"/>
          <w:szCs w:val="24"/>
        </w:rPr>
        <w:t>9</w:t>
      </w:r>
      <w:r w:rsidRPr="001A0792">
        <w:rPr>
          <w:b/>
          <w:sz w:val="24"/>
          <w:szCs w:val="24"/>
        </w:rPr>
        <w:t xml:space="preserve"> год</w:t>
      </w:r>
    </w:p>
    <w:p w:rsidR="00084518" w:rsidRDefault="00084518" w:rsidP="00084518">
      <w:pPr>
        <w:jc w:val="both"/>
        <w:rPr>
          <w:sz w:val="26"/>
          <w:szCs w:val="26"/>
        </w:rPr>
      </w:pPr>
    </w:p>
    <w:p w:rsidR="00F66837" w:rsidRDefault="00F66837" w:rsidP="00D90F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Фактическое поступление  налоговых и неналоговых доходов за </w:t>
      </w:r>
      <w:r w:rsidR="00A468DB">
        <w:rPr>
          <w:sz w:val="26"/>
          <w:szCs w:val="26"/>
        </w:rPr>
        <w:t>201</w:t>
      </w:r>
      <w:r w:rsidR="00072C46">
        <w:rPr>
          <w:sz w:val="26"/>
          <w:szCs w:val="26"/>
        </w:rPr>
        <w:t>9</w:t>
      </w:r>
      <w:r>
        <w:rPr>
          <w:sz w:val="26"/>
          <w:szCs w:val="26"/>
        </w:rPr>
        <w:t xml:space="preserve"> год составило </w:t>
      </w:r>
      <w:r w:rsidR="00DA3B71">
        <w:rPr>
          <w:sz w:val="26"/>
          <w:szCs w:val="26"/>
        </w:rPr>
        <w:t>2</w:t>
      </w:r>
      <w:r w:rsidR="00072C46">
        <w:rPr>
          <w:sz w:val="26"/>
          <w:szCs w:val="26"/>
        </w:rPr>
        <w:t> 209,4</w:t>
      </w:r>
      <w:r>
        <w:rPr>
          <w:sz w:val="26"/>
          <w:szCs w:val="26"/>
        </w:rPr>
        <w:t xml:space="preserve"> тыс. рублей  бюджетные назначения исполнены на </w:t>
      </w:r>
      <w:r w:rsidR="00072C46">
        <w:rPr>
          <w:sz w:val="26"/>
          <w:szCs w:val="26"/>
        </w:rPr>
        <w:t>105,0</w:t>
      </w:r>
      <w:r>
        <w:rPr>
          <w:sz w:val="26"/>
          <w:szCs w:val="26"/>
        </w:rPr>
        <w:t xml:space="preserve">% по сравнению с прошлым годом, поступление доходов </w:t>
      </w:r>
      <w:r w:rsidR="00A468DB">
        <w:rPr>
          <w:sz w:val="26"/>
          <w:szCs w:val="26"/>
        </w:rPr>
        <w:t xml:space="preserve">уменьшилось </w:t>
      </w:r>
      <w:r>
        <w:rPr>
          <w:sz w:val="26"/>
          <w:szCs w:val="26"/>
        </w:rPr>
        <w:t xml:space="preserve">на </w:t>
      </w:r>
      <w:r w:rsidR="00072C46">
        <w:rPr>
          <w:sz w:val="26"/>
          <w:szCs w:val="26"/>
        </w:rPr>
        <w:t>494,8</w:t>
      </w:r>
      <w:r>
        <w:rPr>
          <w:sz w:val="26"/>
          <w:szCs w:val="26"/>
        </w:rPr>
        <w:t xml:space="preserve"> тыс. рублей</w:t>
      </w:r>
      <w:r w:rsidR="00A468DB">
        <w:rPr>
          <w:sz w:val="26"/>
          <w:szCs w:val="26"/>
        </w:rPr>
        <w:t xml:space="preserve"> или на </w:t>
      </w:r>
      <w:r w:rsidR="00072C46">
        <w:rPr>
          <w:sz w:val="26"/>
          <w:szCs w:val="26"/>
        </w:rPr>
        <w:t>18,3</w:t>
      </w:r>
      <w:r w:rsidR="00D90FD4">
        <w:rPr>
          <w:sz w:val="26"/>
          <w:szCs w:val="26"/>
        </w:rPr>
        <w:t>%.</w:t>
      </w:r>
    </w:p>
    <w:p w:rsidR="0011281A" w:rsidRDefault="0011281A" w:rsidP="0011281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числу основных доходных источников бюджета </w:t>
      </w:r>
      <w:proofErr w:type="spellStart"/>
      <w:r w:rsidR="00B7065E"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</w:t>
      </w:r>
      <w:r w:rsidR="00CC071E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 за отчетный период относятся:</w:t>
      </w:r>
    </w:p>
    <w:p w:rsidR="002F1461" w:rsidRDefault="002F1461" w:rsidP="002F146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Налог на доходы физических лиц</w:t>
      </w:r>
      <w:r>
        <w:rPr>
          <w:sz w:val="26"/>
          <w:szCs w:val="26"/>
        </w:rPr>
        <w:t>, за 2019 год поступил в размере    509,3</w:t>
      </w:r>
      <w:r w:rsidRPr="00642503">
        <w:rPr>
          <w:sz w:val="26"/>
          <w:szCs w:val="26"/>
        </w:rPr>
        <w:t xml:space="preserve"> тыс. рублей, бюджетные назначения исполнены на </w:t>
      </w:r>
      <w:r>
        <w:rPr>
          <w:sz w:val="26"/>
          <w:szCs w:val="26"/>
        </w:rPr>
        <w:t>93,7</w:t>
      </w:r>
      <w:r w:rsidRPr="00642503">
        <w:rPr>
          <w:sz w:val="26"/>
          <w:szCs w:val="26"/>
        </w:rPr>
        <w:t>%.</w:t>
      </w:r>
      <w:r>
        <w:rPr>
          <w:sz w:val="26"/>
          <w:szCs w:val="26"/>
        </w:rPr>
        <w:t xml:space="preserve"> По сравнению с 2018 годом поступление у</w:t>
      </w:r>
      <w:r w:rsidR="00133D70">
        <w:rPr>
          <w:sz w:val="26"/>
          <w:szCs w:val="26"/>
        </w:rPr>
        <w:t>велич</w:t>
      </w:r>
      <w:r>
        <w:rPr>
          <w:sz w:val="26"/>
          <w:szCs w:val="26"/>
        </w:rPr>
        <w:t xml:space="preserve">илось на 74,8 тыс. рублей или на </w:t>
      </w:r>
      <w:r w:rsidR="00133D70">
        <w:rPr>
          <w:sz w:val="26"/>
          <w:szCs w:val="26"/>
        </w:rPr>
        <w:t>17,2</w:t>
      </w:r>
      <w:r>
        <w:rPr>
          <w:sz w:val="26"/>
          <w:szCs w:val="26"/>
        </w:rPr>
        <w:t>%.</w:t>
      </w:r>
    </w:p>
    <w:p w:rsidR="00DB24C3" w:rsidRDefault="00DB24C3" w:rsidP="00DB24C3">
      <w:pPr>
        <w:ind w:firstLine="709"/>
        <w:jc w:val="both"/>
        <w:rPr>
          <w:sz w:val="26"/>
          <w:szCs w:val="26"/>
        </w:rPr>
      </w:pPr>
      <w:r w:rsidRPr="00062F3A">
        <w:rPr>
          <w:b/>
          <w:sz w:val="26"/>
          <w:szCs w:val="26"/>
        </w:rPr>
        <w:t>А</w:t>
      </w:r>
      <w:r w:rsidRPr="00C7424E">
        <w:rPr>
          <w:b/>
          <w:sz w:val="26"/>
          <w:szCs w:val="26"/>
        </w:rPr>
        <w:t>кциз</w:t>
      </w:r>
      <w:r>
        <w:rPr>
          <w:b/>
          <w:sz w:val="26"/>
          <w:szCs w:val="26"/>
        </w:rPr>
        <w:t>ы</w:t>
      </w:r>
      <w:r w:rsidRPr="00C7424E">
        <w:rPr>
          <w:b/>
          <w:sz w:val="26"/>
          <w:szCs w:val="26"/>
        </w:rPr>
        <w:t xml:space="preserve"> по подакцизным товарам (продукции), производимым на территории РФ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поступили в размере 342,6</w:t>
      </w:r>
      <w:r w:rsidRPr="00B01E2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</w:t>
      </w:r>
      <w:r w:rsidRPr="00B01E2B">
        <w:rPr>
          <w:sz w:val="26"/>
          <w:szCs w:val="26"/>
        </w:rPr>
        <w:t>бюдже</w:t>
      </w:r>
      <w:r>
        <w:rPr>
          <w:sz w:val="26"/>
          <w:szCs w:val="26"/>
        </w:rPr>
        <w:t>тные назначения исполнены на 99,6%.</w:t>
      </w:r>
      <w:r w:rsidRPr="00035E66">
        <w:rPr>
          <w:sz w:val="26"/>
          <w:szCs w:val="26"/>
        </w:rPr>
        <w:t xml:space="preserve"> </w:t>
      </w:r>
      <w:r>
        <w:rPr>
          <w:sz w:val="26"/>
          <w:szCs w:val="26"/>
        </w:rPr>
        <w:t>По сравнению с 2018 годом поступление увеличилось на 33,2 тыс. рублей или на 10,7%.</w:t>
      </w:r>
    </w:p>
    <w:p w:rsidR="0083152F" w:rsidRDefault="00DB24C3" w:rsidP="0083152F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Е</w:t>
      </w:r>
      <w:r w:rsidR="00C81E20">
        <w:rPr>
          <w:b/>
          <w:sz w:val="26"/>
          <w:szCs w:val="26"/>
        </w:rPr>
        <w:t>диный сельскохозяйственный налог</w:t>
      </w:r>
      <w:r w:rsidR="00C74311">
        <w:rPr>
          <w:b/>
          <w:sz w:val="26"/>
          <w:szCs w:val="26"/>
        </w:rPr>
        <w:t xml:space="preserve">, </w:t>
      </w:r>
      <w:r w:rsidR="00C74311" w:rsidRPr="00C74311">
        <w:rPr>
          <w:sz w:val="26"/>
          <w:szCs w:val="26"/>
        </w:rPr>
        <w:t>который составил</w:t>
      </w:r>
      <w:r w:rsidR="00C81E2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4,0</w:t>
      </w:r>
      <w:r w:rsidR="00C74311">
        <w:rPr>
          <w:sz w:val="26"/>
          <w:szCs w:val="26"/>
        </w:rPr>
        <w:t xml:space="preserve">% от доли собственных доходов, </w:t>
      </w:r>
      <w:r w:rsidR="00C81E20">
        <w:rPr>
          <w:sz w:val="26"/>
          <w:szCs w:val="26"/>
        </w:rPr>
        <w:t xml:space="preserve">поступил в сумме  </w:t>
      </w:r>
      <w:r>
        <w:rPr>
          <w:sz w:val="26"/>
          <w:szCs w:val="26"/>
        </w:rPr>
        <w:t>87,8</w:t>
      </w:r>
      <w:r w:rsidR="00C81E20">
        <w:rPr>
          <w:sz w:val="26"/>
          <w:szCs w:val="26"/>
        </w:rPr>
        <w:t xml:space="preserve"> тыс. рублей, бюджетные назначения исполнены на </w:t>
      </w:r>
      <w:r>
        <w:rPr>
          <w:sz w:val="26"/>
          <w:szCs w:val="26"/>
        </w:rPr>
        <w:t>97,6</w:t>
      </w:r>
      <w:r w:rsidR="00C81E20">
        <w:rPr>
          <w:sz w:val="26"/>
          <w:szCs w:val="26"/>
        </w:rPr>
        <w:t>%. По сравнению с 201</w:t>
      </w:r>
      <w:r>
        <w:rPr>
          <w:sz w:val="26"/>
          <w:szCs w:val="26"/>
        </w:rPr>
        <w:t>8</w:t>
      </w:r>
      <w:r w:rsidR="00C81E20">
        <w:rPr>
          <w:sz w:val="26"/>
          <w:szCs w:val="26"/>
        </w:rPr>
        <w:t xml:space="preserve"> годом поступление доходов у</w:t>
      </w:r>
      <w:r>
        <w:rPr>
          <w:sz w:val="26"/>
          <w:szCs w:val="26"/>
        </w:rPr>
        <w:t>меньш</w:t>
      </w:r>
      <w:r w:rsidR="00C81E20">
        <w:rPr>
          <w:sz w:val="26"/>
          <w:szCs w:val="26"/>
        </w:rPr>
        <w:t xml:space="preserve">илось на </w:t>
      </w:r>
      <w:r>
        <w:rPr>
          <w:sz w:val="26"/>
          <w:szCs w:val="26"/>
        </w:rPr>
        <w:t>974,0</w:t>
      </w:r>
      <w:r w:rsidR="00C81E20">
        <w:rPr>
          <w:sz w:val="26"/>
          <w:szCs w:val="26"/>
        </w:rPr>
        <w:t xml:space="preserve"> тыс. рублей</w:t>
      </w:r>
      <w:r w:rsidR="0083152F">
        <w:rPr>
          <w:sz w:val="26"/>
          <w:szCs w:val="26"/>
        </w:rPr>
        <w:t>,</w:t>
      </w:r>
      <w:r w:rsidR="0083152F" w:rsidRPr="0083152F">
        <w:rPr>
          <w:sz w:val="26"/>
          <w:szCs w:val="26"/>
        </w:rPr>
        <w:t xml:space="preserve"> </w:t>
      </w:r>
      <w:r w:rsidR="0083152F">
        <w:rPr>
          <w:sz w:val="26"/>
          <w:szCs w:val="26"/>
        </w:rPr>
        <w:t>что связано с уменьшением прибыли сельскохозяйственных товаропроизводителей;</w:t>
      </w:r>
    </w:p>
    <w:p w:rsidR="004341F4" w:rsidRDefault="0083152F" w:rsidP="004341F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="004341F4">
        <w:rPr>
          <w:b/>
          <w:sz w:val="26"/>
          <w:szCs w:val="26"/>
        </w:rPr>
        <w:t xml:space="preserve">алоги на имущество, </w:t>
      </w:r>
      <w:r w:rsidR="004341F4">
        <w:rPr>
          <w:sz w:val="26"/>
          <w:szCs w:val="26"/>
        </w:rPr>
        <w:t xml:space="preserve">которые  </w:t>
      </w:r>
      <w:r w:rsidR="004B5F4D" w:rsidRPr="005F1623">
        <w:rPr>
          <w:sz w:val="26"/>
          <w:szCs w:val="26"/>
        </w:rPr>
        <w:t xml:space="preserve">составили </w:t>
      </w:r>
      <w:r>
        <w:rPr>
          <w:sz w:val="26"/>
          <w:szCs w:val="26"/>
        </w:rPr>
        <w:t>53,1</w:t>
      </w:r>
      <w:r w:rsidR="004B5F4D" w:rsidRPr="005F1623">
        <w:rPr>
          <w:sz w:val="26"/>
          <w:szCs w:val="26"/>
        </w:rPr>
        <w:t>% от доли собственных дох</w:t>
      </w:r>
      <w:r w:rsidR="004B5F4D">
        <w:rPr>
          <w:sz w:val="26"/>
          <w:szCs w:val="26"/>
        </w:rPr>
        <w:t>одов, поступление составило</w:t>
      </w:r>
      <w:r w:rsidR="004341F4">
        <w:rPr>
          <w:sz w:val="26"/>
          <w:szCs w:val="26"/>
        </w:rPr>
        <w:t xml:space="preserve"> </w:t>
      </w:r>
      <w:r>
        <w:rPr>
          <w:sz w:val="26"/>
          <w:szCs w:val="26"/>
        </w:rPr>
        <w:t>1 173,6</w:t>
      </w:r>
      <w:r w:rsidR="004341F4">
        <w:rPr>
          <w:sz w:val="26"/>
          <w:szCs w:val="26"/>
        </w:rPr>
        <w:t xml:space="preserve"> тыс. рублей, бюджетные назначения исполнены на </w:t>
      </w:r>
      <w:r>
        <w:rPr>
          <w:sz w:val="26"/>
          <w:szCs w:val="26"/>
        </w:rPr>
        <w:t>113,7</w:t>
      </w:r>
      <w:r w:rsidR="004341F4">
        <w:rPr>
          <w:sz w:val="26"/>
          <w:szCs w:val="26"/>
        </w:rPr>
        <w:t>%, а именно:</w:t>
      </w:r>
    </w:p>
    <w:p w:rsidR="004341F4" w:rsidRDefault="004341F4" w:rsidP="008245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 на имущество физических лиц поступил в размере </w:t>
      </w:r>
      <w:r w:rsidR="0083152F">
        <w:rPr>
          <w:sz w:val="26"/>
          <w:szCs w:val="26"/>
        </w:rPr>
        <w:t>114,2</w:t>
      </w:r>
      <w:r>
        <w:rPr>
          <w:sz w:val="26"/>
          <w:szCs w:val="26"/>
        </w:rPr>
        <w:t xml:space="preserve"> тыс. рублей, бюдж</w:t>
      </w:r>
      <w:r w:rsidR="004B5F4D">
        <w:rPr>
          <w:sz w:val="26"/>
          <w:szCs w:val="26"/>
        </w:rPr>
        <w:t xml:space="preserve">етные назначения исполнены на </w:t>
      </w:r>
      <w:r w:rsidR="0083152F">
        <w:rPr>
          <w:sz w:val="26"/>
          <w:szCs w:val="26"/>
        </w:rPr>
        <w:t>116,5</w:t>
      </w:r>
      <w:r>
        <w:rPr>
          <w:sz w:val="26"/>
          <w:szCs w:val="26"/>
        </w:rPr>
        <w:t>%, по сравнению с предыдущим годом налог у</w:t>
      </w:r>
      <w:r w:rsidR="0083152F">
        <w:rPr>
          <w:sz w:val="26"/>
          <w:szCs w:val="26"/>
        </w:rPr>
        <w:t>велич</w:t>
      </w:r>
      <w:r w:rsidR="00C74311">
        <w:rPr>
          <w:sz w:val="26"/>
          <w:szCs w:val="26"/>
        </w:rPr>
        <w:t>ился</w:t>
      </w:r>
      <w:r>
        <w:rPr>
          <w:sz w:val="26"/>
          <w:szCs w:val="26"/>
        </w:rPr>
        <w:t xml:space="preserve"> на </w:t>
      </w:r>
      <w:r w:rsidR="0083152F">
        <w:rPr>
          <w:sz w:val="26"/>
          <w:szCs w:val="26"/>
        </w:rPr>
        <w:t>70,8</w:t>
      </w:r>
      <w:r>
        <w:rPr>
          <w:sz w:val="26"/>
          <w:szCs w:val="26"/>
        </w:rPr>
        <w:t xml:space="preserve"> тыс</w:t>
      </w:r>
      <w:r w:rsidRPr="00D37DE2">
        <w:rPr>
          <w:sz w:val="26"/>
          <w:szCs w:val="26"/>
        </w:rPr>
        <w:t>. рублей</w:t>
      </w:r>
      <w:r w:rsidR="008245F3">
        <w:rPr>
          <w:sz w:val="26"/>
          <w:szCs w:val="26"/>
        </w:rPr>
        <w:t xml:space="preserve"> или на </w:t>
      </w:r>
      <w:r w:rsidR="0083152F">
        <w:rPr>
          <w:sz w:val="26"/>
          <w:szCs w:val="26"/>
        </w:rPr>
        <w:t>163,1</w:t>
      </w:r>
      <w:r w:rsidR="00D90FD4">
        <w:rPr>
          <w:sz w:val="26"/>
          <w:szCs w:val="26"/>
        </w:rPr>
        <w:t>%</w:t>
      </w:r>
      <w:r w:rsidR="008E2C79">
        <w:rPr>
          <w:sz w:val="26"/>
          <w:szCs w:val="26"/>
        </w:rPr>
        <w:t xml:space="preserve">, что связано с возвратом в 2018 году ошибочно зачисленного транспортного налога в бюджет </w:t>
      </w:r>
      <w:proofErr w:type="spellStart"/>
      <w:r w:rsidR="008E2C79">
        <w:rPr>
          <w:sz w:val="26"/>
          <w:szCs w:val="26"/>
        </w:rPr>
        <w:t>Цацинского</w:t>
      </w:r>
      <w:proofErr w:type="spellEnd"/>
      <w:r w:rsidR="008E2C79">
        <w:rPr>
          <w:sz w:val="26"/>
          <w:szCs w:val="26"/>
        </w:rPr>
        <w:t xml:space="preserve"> сельского поселения;</w:t>
      </w:r>
    </w:p>
    <w:p w:rsidR="00C74311" w:rsidRPr="00C74311" w:rsidRDefault="004341F4" w:rsidP="00C7431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-земельный налог поступил в размере </w:t>
      </w:r>
      <w:r w:rsidR="0083152F">
        <w:rPr>
          <w:sz w:val="26"/>
          <w:szCs w:val="26"/>
        </w:rPr>
        <w:t>1 059,4</w:t>
      </w:r>
      <w:r w:rsidR="00C743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бюджетные назначения исполнены на </w:t>
      </w:r>
      <w:r w:rsidR="0083152F">
        <w:rPr>
          <w:sz w:val="26"/>
          <w:szCs w:val="26"/>
        </w:rPr>
        <w:t>113,4</w:t>
      </w:r>
      <w:r>
        <w:rPr>
          <w:sz w:val="26"/>
          <w:szCs w:val="26"/>
        </w:rPr>
        <w:t>%, по сравнению с предыдущим</w:t>
      </w:r>
      <w:r w:rsidR="004B5F4D">
        <w:rPr>
          <w:sz w:val="26"/>
          <w:szCs w:val="26"/>
        </w:rPr>
        <w:t xml:space="preserve"> годом налог у</w:t>
      </w:r>
      <w:r w:rsidR="0083152F">
        <w:rPr>
          <w:sz w:val="26"/>
          <w:szCs w:val="26"/>
        </w:rPr>
        <w:t>велич</w:t>
      </w:r>
      <w:r w:rsidR="00A468DB">
        <w:rPr>
          <w:sz w:val="26"/>
          <w:szCs w:val="26"/>
        </w:rPr>
        <w:t>ился</w:t>
      </w:r>
      <w:r w:rsidR="004B5F4D">
        <w:rPr>
          <w:sz w:val="26"/>
          <w:szCs w:val="26"/>
        </w:rPr>
        <w:t xml:space="preserve"> на </w:t>
      </w:r>
      <w:r w:rsidR="0083152F">
        <w:rPr>
          <w:sz w:val="26"/>
          <w:szCs w:val="26"/>
        </w:rPr>
        <w:t>482,5</w:t>
      </w:r>
      <w:r>
        <w:rPr>
          <w:sz w:val="26"/>
          <w:szCs w:val="26"/>
        </w:rPr>
        <w:t xml:space="preserve"> тыс. рублей</w:t>
      </w:r>
      <w:r w:rsidR="00C74311">
        <w:rPr>
          <w:sz w:val="26"/>
          <w:szCs w:val="26"/>
        </w:rPr>
        <w:t xml:space="preserve">. </w:t>
      </w:r>
      <w:r w:rsidR="00C74311" w:rsidRPr="00C74311">
        <w:rPr>
          <w:snapToGrid w:val="0"/>
          <w:sz w:val="26"/>
          <w:szCs w:val="26"/>
        </w:rPr>
        <w:t xml:space="preserve">На </w:t>
      </w:r>
      <w:r w:rsidR="008E2C79">
        <w:rPr>
          <w:snapToGrid w:val="0"/>
          <w:sz w:val="26"/>
          <w:szCs w:val="26"/>
        </w:rPr>
        <w:t>увеличение поступлений оказало влияние работы комиссии по сборам налоговых и неналоговых доходов.</w:t>
      </w:r>
    </w:p>
    <w:p w:rsidR="00F54891" w:rsidRDefault="00F54891" w:rsidP="00F54891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 xml:space="preserve"> поступили в размере </w:t>
      </w:r>
      <w:r w:rsidR="004C42CB">
        <w:rPr>
          <w:sz w:val="26"/>
          <w:szCs w:val="26"/>
        </w:rPr>
        <w:t xml:space="preserve">   </w:t>
      </w:r>
      <w:r w:rsidR="008E2C79">
        <w:rPr>
          <w:sz w:val="26"/>
          <w:szCs w:val="26"/>
        </w:rPr>
        <w:t>79,1</w:t>
      </w:r>
      <w:r>
        <w:rPr>
          <w:sz w:val="26"/>
          <w:szCs w:val="26"/>
        </w:rPr>
        <w:t xml:space="preserve"> тыс. рублей, бюджетные назначения исполнены на </w:t>
      </w:r>
      <w:r w:rsidR="008E2C79">
        <w:rPr>
          <w:sz w:val="26"/>
          <w:szCs w:val="26"/>
        </w:rPr>
        <w:t>98,8</w:t>
      </w:r>
      <w:r w:rsidR="00D5307E">
        <w:rPr>
          <w:sz w:val="26"/>
          <w:szCs w:val="26"/>
        </w:rPr>
        <w:t>,</w:t>
      </w:r>
      <w:r w:rsidR="00CA6409">
        <w:rPr>
          <w:sz w:val="26"/>
          <w:szCs w:val="26"/>
        </w:rPr>
        <w:t>%</w:t>
      </w:r>
      <w:r>
        <w:rPr>
          <w:sz w:val="26"/>
          <w:szCs w:val="26"/>
        </w:rPr>
        <w:t>, а именно:</w:t>
      </w:r>
    </w:p>
    <w:p w:rsidR="0003593C" w:rsidRDefault="00F54891" w:rsidP="0003593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-доходы, </w:t>
      </w:r>
      <w:r w:rsidRPr="00F54891">
        <w:rPr>
          <w:sz w:val="26"/>
          <w:szCs w:val="26"/>
        </w:rPr>
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, составили </w:t>
      </w:r>
      <w:r w:rsidR="008E2C79">
        <w:rPr>
          <w:sz w:val="26"/>
          <w:szCs w:val="26"/>
        </w:rPr>
        <w:t>58,2</w:t>
      </w:r>
      <w:r>
        <w:rPr>
          <w:sz w:val="26"/>
          <w:szCs w:val="26"/>
        </w:rPr>
        <w:t xml:space="preserve"> тыс. рублей, бюджетные назначения исполнены на </w:t>
      </w:r>
      <w:r w:rsidR="008E2C79">
        <w:rPr>
          <w:sz w:val="26"/>
          <w:szCs w:val="26"/>
        </w:rPr>
        <w:t>89,3</w:t>
      </w:r>
      <w:r>
        <w:rPr>
          <w:sz w:val="26"/>
          <w:szCs w:val="26"/>
        </w:rPr>
        <w:t>%</w:t>
      </w:r>
      <w:r w:rsidR="008E2C79" w:rsidRPr="008E2C79">
        <w:rPr>
          <w:sz w:val="26"/>
          <w:szCs w:val="26"/>
        </w:rPr>
        <w:t xml:space="preserve"> </w:t>
      </w:r>
      <w:r w:rsidR="008E2C79">
        <w:rPr>
          <w:sz w:val="26"/>
          <w:szCs w:val="26"/>
        </w:rPr>
        <w:t>по сравнению с предыдущим годом поступление уменьшилось на 200,6 тыс</w:t>
      </w:r>
      <w:r w:rsidR="008E2C79" w:rsidRPr="00D37DE2">
        <w:rPr>
          <w:sz w:val="26"/>
          <w:szCs w:val="26"/>
        </w:rPr>
        <w:t>. рублей</w:t>
      </w:r>
      <w:r w:rsidR="008E2C79">
        <w:rPr>
          <w:sz w:val="26"/>
          <w:szCs w:val="26"/>
        </w:rPr>
        <w:t xml:space="preserve"> или на 77,5%,</w:t>
      </w:r>
      <w:r w:rsidR="0003593C">
        <w:rPr>
          <w:sz w:val="26"/>
          <w:szCs w:val="26"/>
        </w:rPr>
        <w:t xml:space="preserve"> что связано с прекращением ранее</w:t>
      </w:r>
      <w:proofErr w:type="gramEnd"/>
      <w:r w:rsidR="0003593C">
        <w:rPr>
          <w:sz w:val="26"/>
          <w:szCs w:val="26"/>
        </w:rPr>
        <w:t xml:space="preserve"> действующих договоров;</w:t>
      </w:r>
    </w:p>
    <w:p w:rsidR="00F54891" w:rsidRDefault="00F54891" w:rsidP="00F5489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-доходы </w:t>
      </w:r>
      <w:r w:rsidRPr="00F54891">
        <w:rPr>
          <w:sz w:val="26"/>
          <w:szCs w:val="26"/>
        </w:rPr>
        <w:t>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sz w:val="26"/>
          <w:szCs w:val="26"/>
        </w:rPr>
        <w:t xml:space="preserve"> составили </w:t>
      </w:r>
      <w:r w:rsidR="0003593C">
        <w:rPr>
          <w:sz w:val="26"/>
          <w:szCs w:val="26"/>
        </w:rPr>
        <w:t>20,9</w:t>
      </w:r>
      <w:r>
        <w:rPr>
          <w:sz w:val="26"/>
          <w:szCs w:val="26"/>
        </w:rPr>
        <w:t xml:space="preserve"> тыс. рублей, бюджетные назначения исполнены на </w:t>
      </w:r>
      <w:r w:rsidR="0003593C">
        <w:rPr>
          <w:sz w:val="26"/>
          <w:szCs w:val="26"/>
        </w:rPr>
        <w:t>140,3</w:t>
      </w:r>
      <w:r>
        <w:rPr>
          <w:sz w:val="26"/>
          <w:szCs w:val="26"/>
        </w:rPr>
        <w:t>%</w:t>
      </w:r>
      <w:r w:rsidR="00FD0235">
        <w:rPr>
          <w:sz w:val="26"/>
          <w:szCs w:val="26"/>
        </w:rPr>
        <w:t>,</w:t>
      </w:r>
      <w:r w:rsidR="0003593C" w:rsidRPr="0003593C">
        <w:rPr>
          <w:sz w:val="26"/>
          <w:szCs w:val="26"/>
        </w:rPr>
        <w:t xml:space="preserve"> </w:t>
      </w:r>
      <w:r w:rsidR="0003593C">
        <w:rPr>
          <w:sz w:val="26"/>
          <w:szCs w:val="26"/>
        </w:rPr>
        <w:t>по сравнению с предыдущим годом поступление увеличилось на 6,0 тыс</w:t>
      </w:r>
      <w:r w:rsidR="0003593C" w:rsidRPr="00D37DE2">
        <w:rPr>
          <w:sz w:val="26"/>
          <w:szCs w:val="26"/>
        </w:rPr>
        <w:t>. рублей</w:t>
      </w:r>
      <w:r w:rsidR="0003593C">
        <w:rPr>
          <w:sz w:val="26"/>
          <w:szCs w:val="26"/>
        </w:rPr>
        <w:t xml:space="preserve"> или на 40,3%, </w:t>
      </w:r>
      <w:r w:rsidR="0003593C" w:rsidRPr="0049606B">
        <w:rPr>
          <w:sz w:val="26"/>
          <w:szCs w:val="26"/>
        </w:rPr>
        <w:t xml:space="preserve">что связано с </w:t>
      </w:r>
      <w:r w:rsidR="0049606B">
        <w:rPr>
          <w:sz w:val="26"/>
          <w:szCs w:val="26"/>
        </w:rPr>
        <w:t>предоставлением помещения в аренду для предварительного голосования</w:t>
      </w:r>
      <w:r w:rsidR="000044D0">
        <w:rPr>
          <w:sz w:val="26"/>
          <w:szCs w:val="26"/>
        </w:rPr>
        <w:t>,</w:t>
      </w:r>
      <w:r w:rsidR="0049606B">
        <w:rPr>
          <w:sz w:val="26"/>
          <w:szCs w:val="26"/>
        </w:rPr>
        <w:t xml:space="preserve"> по</w:t>
      </w:r>
      <w:proofErr w:type="gramEnd"/>
      <w:r w:rsidR="0049606B">
        <w:rPr>
          <w:sz w:val="26"/>
          <w:szCs w:val="26"/>
        </w:rPr>
        <w:t xml:space="preserve"> кандидатурам для последующего выдвижения от Волгоградского регионального отделения Партии «Единая Россия» </w:t>
      </w:r>
    </w:p>
    <w:p w:rsidR="008E575F" w:rsidRDefault="00117A73" w:rsidP="008E575F">
      <w:pPr>
        <w:ind w:firstLine="708"/>
        <w:jc w:val="both"/>
        <w:rPr>
          <w:sz w:val="26"/>
          <w:szCs w:val="26"/>
        </w:rPr>
      </w:pPr>
      <w:r w:rsidRPr="00117A73">
        <w:rPr>
          <w:b/>
          <w:sz w:val="26"/>
          <w:szCs w:val="26"/>
        </w:rPr>
        <w:t>Доходы от штрафов, санкций, возмещений ущерба</w:t>
      </w:r>
      <w:r w:rsidR="00D5307E">
        <w:rPr>
          <w:sz w:val="26"/>
          <w:szCs w:val="26"/>
        </w:rPr>
        <w:t xml:space="preserve"> поступили в размере </w:t>
      </w:r>
      <w:r w:rsidR="00FD0235">
        <w:rPr>
          <w:sz w:val="26"/>
          <w:szCs w:val="26"/>
        </w:rPr>
        <w:t>17,0</w:t>
      </w:r>
      <w:r w:rsidR="00D5307E">
        <w:rPr>
          <w:sz w:val="26"/>
          <w:szCs w:val="26"/>
        </w:rPr>
        <w:t xml:space="preserve"> </w:t>
      </w:r>
      <w:r w:rsidR="00F37F9F">
        <w:rPr>
          <w:sz w:val="26"/>
          <w:szCs w:val="26"/>
        </w:rPr>
        <w:t>тыс. рублей</w:t>
      </w:r>
      <w:r w:rsidR="001706C5">
        <w:rPr>
          <w:sz w:val="26"/>
          <w:szCs w:val="26"/>
        </w:rPr>
        <w:t xml:space="preserve">, бюджетные назначения исполнены на </w:t>
      </w:r>
      <w:r w:rsidR="00FD0235">
        <w:rPr>
          <w:sz w:val="26"/>
          <w:szCs w:val="26"/>
        </w:rPr>
        <w:t>113,3</w:t>
      </w:r>
      <w:r w:rsidR="001706C5">
        <w:rPr>
          <w:sz w:val="26"/>
          <w:szCs w:val="26"/>
        </w:rPr>
        <w:t>%</w:t>
      </w:r>
      <w:r w:rsidR="00FD023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D0235">
        <w:rPr>
          <w:sz w:val="26"/>
          <w:szCs w:val="26"/>
        </w:rPr>
        <w:t>по сравнению с предыдущим годом поступление увеличилось на 12,5 тыс</w:t>
      </w:r>
      <w:r w:rsidR="00FD0235" w:rsidRPr="00D37DE2">
        <w:rPr>
          <w:sz w:val="26"/>
          <w:szCs w:val="26"/>
        </w:rPr>
        <w:t>. рублей</w:t>
      </w:r>
      <w:r w:rsidR="00FD0235">
        <w:rPr>
          <w:sz w:val="26"/>
          <w:szCs w:val="26"/>
        </w:rPr>
        <w:t xml:space="preserve">, </w:t>
      </w:r>
      <w:r w:rsidR="008E575F">
        <w:rPr>
          <w:sz w:val="26"/>
          <w:szCs w:val="26"/>
        </w:rPr>
        <w:t>что связано с увеличением количества совершенных правонарушений.</w:t>
      </w:r>
    </w:p>
    <w:p w:rsidR="0011281A" w:rsidRDefault="0011281A" w:rsidP="008E575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Сумма безвозмездных поступлений</w:t>
      </w:r>
      <w:r>
        <w:rPr>
          <w:sz w:val="26"/>
          <w:szCs w:val="26"/>
        </w:rPr>
        <w:t xml:space="preserve"> за </w:t>
      </w:r>
      <w:r w:rsidR="002D1845">
        <w:rPr>
          <w:sz w:val="26"/>
          <w:szCs w:val="26"/>
        </w:rPr>
        <w:t>201</w:t>
      </w:r>
      <w:r w:rsidR="005A7328">
        <w:rPr>
          <w:sz w:val="26"/>
          <w:szCs w:val="26"/>
        </w:rPr>
        <w:t>9</w:t>
      </w:r>
      <w:r w:rsidR="00620E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 составила  </w:t>
      </w:r>
      <w:r w:rsidR="005A7328">
        <w:rPr>
          <w:sz w:val="26"/>
          <w:szCs w:val="26"/>
        </w:rPr>
        <w:t>5 850,2</w:t>
      </w:r>
      <w:r>
        <w:rPr>
          <w:sz w:val="26"/>
          <w:szCs w:val="26"/>
        </w:rPr>
        <w:t xml:space="preserve"> тыс. рублей или </w:t>
      </w:r>
      <w:r w:rsidR="005A7328">
        <w:rPr>
          <w:sz w:val="26"/>
          <w:szCs w:val="26"/>
        </w:rPr>
        <w:t>72,6</w:t>
      </w:r>
      <w:r>
        <w:rPr>
          <w:sz w:val="26"/>
          <w:szCs w:val="26"/>
        </w:rPr>
        <w:t xml:space="preserve">% от общих доходов поселения. Процент исполнения годовых назначений составил </w:t>
      </w:r>
      <w:r w:rsidR="005A7328">
        <w:rPr>
          <w:sz w:val="26"/>
          <w:szCs w:val="26"/>
        </w:rPr>
        <w:t>100,0</w:t>
      </w:r>
      <w:r w:rsidR="00D874C2">
        <w:rPr>
          <w:sz w:val="26"/>
          <w:szCs w:val="26"/>
        </w:rPr>
        <w:t>%, в том числе:</w:t>
      </w:r>
    </w:p>
    <w:p w:rsidR="0011281A" w:rsidRDefault="0011281A" w:rsidP="0011281A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-дотаци</w:t>
      </w:r>
      <w:r w:rsidR="007B0A1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бюджетам </w:t>
      </w:r>
      <w:r w:rsidR="00CA6409">
        <w:rPr>
          <w:b/>
          <w:sz w:val="26"/>
          <w:szCs w:val="26"/>
        </w:rPr>
        <w:t>бюджетной системы</w:t>
      </w:r>
      <w:r>
        <w:rPr>
          <w:b/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, а именно, дотаци</w:t>
      </w:r>
      <w:r w:rsidR="007B0A18">
        <w:rPr>
          <w:sz w:val="26"/>
          <w:szCs w:val="26"/>
        </w:rPr>
        <w:t>я</w:t>
      </w:r>
      <w:r>
        <w:rPr>
          <w:sz w:val="26"/>
          <w:szCs w:val="26"/>
        </w:rPr>
        <w:t xml:space="preserve"> на выравнивание бюджетной обеспеченности</w:t>
      </w:r>
      <w:r w:rsidR="007B0A18">
        <w:rPr>
          <w:sz w:val="26"/>
          <w:szCs w:val="26"/>
        </w:rPr>
        <w:t>, которая</w:t>
      </w:r>
      <w:r>
        <w:rPr>
          <w:sz w:val="26"/>
          <w:szCs w:val="26"/>
        </w:rPr>
        <w:t xml:space="preserve"> поступила в размер</w:t>
      </w:r>
      <w:r w:rsidR="00CC071E">
        <w:rPr>
          <w:sz w:val="26"/>
          <w:szCs w:val="26"/>
        </w:rPr>
        <w:t>е</w:t>
      </w:r>
      <w:r w:rsidR="00C270F8">
        <w:rPr>
          <w:sz w:val="26"/>
          <w:szCs w:val="26"/>
        </w:rPr>
        <w:t xml:space="preserve"> </w:t>
      </w:r>
      <w:r w:rsidR="00741257">
        <w:rPr>
          <w:sz w:val="26"/>
          <w:szCs w:val="26"/>
        </w:rPr>
        <w:t>1 610,0</w:t>
      </w:r>
      <w:r>
        <w:rPr>
          <w:sz w:val="26"/>
          <w:szCs w:val="26"/>
        </w:rPr>
        <w:t xml:space="preserve"> тыс. рублей </w:t>
      </w:r>
      <w:r w:rsidR="007B0A18">
        <w:rPr>
          <w:sz w:val="26"/>
          <w:szCs w:val="26"/>
        </w:rPr>
        <w:t>плановые назначения ис</w:t>
      </w:r>
      <w:r>
        <w:rPr>
          <w:sz w:val="26"/>
          <w:szCs w:val="26"/>
        </w:rPr>
        <w:t>полнен</w:t>
      </w:r>
      <w:r w:rsidR="007B0A18">
        <w:rPr>
          <w:sz w:val="26"/>
          <w:szCs w:val="26"/>
        </w:rPr>
        <w:t xml:space="preserve">ы на </w:t>
      </w:r>
      <w:r>
        <w:rPr>
          <w:sz w:val="26"/>
          <w:szCs w:val="26"/>
        </w:rPr>
        <w:t xml:space="preserve"> </w:t>
      </w:r>
      <w:r w:rsidR="007B0A18">
        <w:rPr>
          <w:sz w:val="26"/>
          <w:szCs w:val="26"/>
        </w:rPr>
        <w:t>100</w:t>
      </w:r>
      <w:r>
        <w:rPr>
          <w:sz w:val="26"/>
          <w:szCs w:val="26"/>
        </w:rPr>
        <w:t>,0%;</w:t>
      </w:r>
    </w:p>
    <w:p w:rsidR="0011281A" w:rsidRDefault="0011281A" w:rsidP="0011281A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 субвенция бюджетам </w:t>
      </w:r>
      <w:r w:rsidR="00CA6409">
        <w:rPr>
          <w:b/>
          <w:sz w:val="26"/>
          <w:szCs w:val="26"/>
        </w:rPr>
        <w:t>бюджетной системы</w:t>
      </w:r>
      <w:r>
        <w:rPr>
          <w:b/>
          <w:sz w:val="26"/>
          <w:szCs w:val="26"/>
        </w:rPr>
        <w:t xml:space="preserve"> Российской Федерации </w:t>
      </w:r>
      <w:r>
        <w:rPr>
          <w:sz w:val="26"/>
          <w:szCs w:val="26"/>
        </w:rPr>
        <w:t xml:space="preserve">поступила в размере </w:t>
      </w:r>
      <w:r w:rsidR="005A7328">
        <w:rPr>
          <w:sz w:val="26"/>
          <w:szCs w:val="26"/>
        </w:rPr>
        <w:t>77,2</w:t>
      </w:r>
      <w:r>
        <w:rPr>
          <w:sz w:val="26"/>
          <w:szCs w:val="26"/>
        </w:rPr>
        <w:t xml:space="preserve"> тыс. рублей, </w:t>
      </w:r>
      <w:r w:rsidR="00651695" w:rsidRPr="007B0A18">
        <w:rPr>
          <w:sz w:val="26"/>
          <w:szCs w:val="26"/>
        </w:rPr>
        <w:t>бюджетные назначения</w:t>
      </w:r>
      <w:r w:rsidR="00651695">
        <w:rPr>
          <w:sz w:val="26"/>
          <w:szCs w:val="26"/>
        </w:rPr>
        <w:t xml:space="preserve"> исполнены</w:t>
      </w:r>
      <w:r>
        <w:rPr>
          <w:sz w:val="26"/>
          <w:szCs w:val="26"/>
        </w:rPr>
        <w:t xml:space="preserve"> на 100,0%, в том числе:</w:t>
      </w:r>
    </w:p>
    <w:p w:rsidR="0011281A" w:rsidRDefault="0011281A" w:rsidP="0011281A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субвенция  на осуществление первичного воинского учёта – </w:t>
      </w:r>
      <w:r w:rsidR="005A7328">
        <w:rPr>
          <w:sz w:val="26"/>
          <w:szCs w:val="26"/>
        </w:rPr>
        <w:t>73,2</w:t>
      </w:r>
      <w:r>
        <w:rPr>
          <w:sz w:val="26"/>
          <w:szCs w:val="26"/>
        </w:rPr>
        <w:t xml:space="preserve"> тыс. рублей; </w:t>
      </w:r>
    </w:p>
    <w:p w:rsidR="0011281A" w:rsidRDefault="0011281A" w:rsidP="0011281A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субвенция на обеспечение деятельности</w:t>
      </w:r>
      <w:r w:rsidR="00BB63D8">
        <w:rPr>
          <w:sz w:val="26"/>
          <w:szCs w:val="26"/>
        </w:rPr>
        <w:t xml:space="preserve"> административной комиссии – 4,</w:t>
      </w:r>
      <w:r w:rsidR="00741257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рублей.</w:t>
      </w:r>
    </w:p>
    <w:p w:rsidR="00A975D8" w:rsidRDefault="0011281A" w:rsidP="00E0331F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>
        <w:rPr>
          <w:b/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поступили в размере </w:t>
      </w:r>
      <w:r w:rsidR="00B84505">
        <w:rPr>
          <w:sz w:val="26"/>
          <w:szCs w:val="26"/>
        </w:rPr>
        <w:t>4</w:t>
      </w:r>
      <w:r w:rsidR="00741257">
        <w:rPr>
          <w:sz w:val="26"/>
          <w:szCs w:val="26"/>
        </w:rPr>
        <w:t> </w:t>
      </w:r>
      <w:r w:rsidR="00806EA8">
        <w:rPr>
          <w:sz w:val="26"/>
          <w:szCs w:val="26"/>
        </w:rPr>
        <w:t>163</w:t>
      </w:r>
      <w:r w:rsidR="00741257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рублей, </w:t>
      </w:r>
      <w:r w:rsidR="00651695" w:rsidRPr="007B0A18">
        <w:rPr>
          <w:sz w:val="26"/>
          <w:szCs w:val="26"/>
        </w:rPr>
        <w:t xml:space="preserve">бюджетные назначения </w:t>
      </w:r>
      <w:r>
        <w:rPr>
          <w:sz w:val="26"/>
          <w:szCs w:val="26"/>
        </w:rPr>
        <w:t>исполнен</w:t>
      </w:r>
      <w:r w:rsidR="00651695">
        <w:rPr>
          <w:sz w:val="26"/>
          <w:szCs w:val="26"/>
        </w:rPr>
        <w:t>ы</w:t>
      </w:r>
      <w:r>
        <w:rPr>
          <w:sz w:val="26"/>
          <w:szCs w:val="26"/>
        </w:rPr>
        <w:t xml:space="preserve"> н</w:t>
      </w:r>
      <w:r w:rsidR="00975EC6">
        <w:rPr>
          <w:sz w:val="26"/>
          <w:szCs w:val="26"/>
        </w:rPr>
        <w:t xml:space="preserve">а </w:t>
      </w:r>
      <w:r w:rsidR="00806EA8">
        <w:rPr>
          <w:sz w:val="26"/>
          <w:szCs w:val="26"/>
        </w:rPr>
        <w:t>100,0</w:t>
      </w:r>
      <w:r>
        <w:rPr>
          <w:sz w:val="26"/>
          <w:szCs w:val="26"/>
        </w:rPr>
        <w:t>%</w:t>
      </w:r>
      <w:r w:rsidR="004348A3">
        <w:rPr>
          <w:sz w:val="26"/>
          <w:szCs w:val="26"/>
        </w:rPr>
        <w:t>, а именно:</w:t>
      </w:r>
    </w:p>
    <w:p w:rsidR="00CC3F2C" w:rsidRDefault="00741257" w:rsidP="00E0331F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741257">
        <w:rPr>
          <w:sz w:val="26"/>
          <w:szCs w:val="26"/>
        </w:rPr>
        <w:t>н</w:t>
      </w:r>
      <w:r>
        <w:rPr>
          <w:sz w:val="26"/>
          <w:szCs w:val="26"/>
        </w:rPr>
        <w:t>ой</w:t>
      </w:r>
      <w:r w:rsidRPr="00741257">
        <w:rPr>
          <w:sz w:val="26"/>
          <w:szCs w:val="26"/>
        </w:rPr>
        <w:t xml:space="preserve"> межбюджетны</w:t>
      </w:r>
      <w:r>
        <w:rPr>
          <w:sz w:val="26"/>
          <w:szCs w:val="26"/>
        </w:rPr>
        <w:t>й трансферт</w:t>
      </w:r>
      <w:r w:rsidRPr="00741257">
        <w:rPr>
          <w:sz w:val="26"/>
          <w:szCs w:val="26"/>
        </w:rPr>
        <w:t xml:space="preserve"> бюджетам поселений Светлоярского муниципального района Волгоградской области на поддержку мер по обеспечению сбалансированности местных бюджетов источником финансового обеспечения</w:t>
      </w:r>
      <w:r w:rsidR="005A06F0">
        <w:rPr>
          <w:sz w:val="26"/>
          <w:szCs w:val="26"/>
        </w:rPr>
        <w:t>,</w:t>
      </w:r>
      <w:r w:rsidRPr="00741257">
        <w:rPr>
          <w:sz w:val="26"/>
          <w:szCs w:val="26"/>
        </w:rPr>
        <w:t xml:space="preserve"> которого является</w:t>
      </w:r>
      <w:r w:rsidR="005A06F0">
        <w:rPr>
          <w:sz w:val="26"/>
          <w:szCs w:val="26"/>
        </w:rPr>
        <w:t>,</w:t>
      </w:r>
      <w:r w:rsidRPr="00741257">
        <w:rPr>
          <w:sz w:val="26"/>
          <w:szCs w:val="26"/>
        </w:rPr>
        <w:t xml:space="preserve"> субсидия на обеспечение сбалансированности местных бюджетов из бюджета Волгоградской области</w:t>
      </w:r>
      <w:r>
        <w:rPr>
          <w:sz w:val="26"/>
          <w:szCs w:val="26"/>
        </w:rPr>
        <w:t xml:space="preserve"> </w:t>
      </w:r>
      <w:r w:rsidR="00CC3F2C" w:rsidRPr="00CC3F2C">
        <w:rPr>
          <w:sz w:val="26"/>
          <w:szCs w:val="26"/>
        </w:rPr>
        <w:t>поступил в размере</w:t>
      </w:r>
      <w:r w:rsidR="00CC3F2C">
        <w:rPr>
          <w:sz w:val="26"/>
          <w:szCs w:val="26"/>
        </w:rPr>
        <w:t xml:space="preserve"> </w:t>
      </w:r>
      <w:r>
        <w:rPr>
          <w:sz w:val="26"/>
          <w:szCs w:val="26"/>
        </w:rPr>
        <w:t>2 658,0</w:t>
      </w:r>
      <w:r w:rsidR="00CC3F2C">
        <w:rPr>
          <w:sz w:val="26"/>
          <w:szCs w:val="26"/>
        </w:rPr>
        <w:t xml:space="preserve"> тыс. рублей,</w:t>
      </w:r>
      <w:r w:rsidR="00CC3F2C" w:rsidRPr="00CC3F2C">
        <w:t xml:space="preserve"> </w:t>
      </w:r>
      <w:r w:rsidR="00CC3F2C" w:rsidRPr="00CC3F2C">
        <w:rPr>
          <w:sz w:val="26"/>
          <w:szCs w:val="26"/>
        </w:rPr>
        <w:t>бюджетные назначения исполнены на</w:t>
      </w:r>
      <w:r w:rsidR="00CA6409">
        <w:rPr>
          <w:sz w:val="26"/>
          <w:szCs w:val="26"/>
        </w:rPr>
        <w:t xml:space="preserve"> </w:t>
      </w:r>
      <w:r>
        <w:rPr>
          <w:sz w:val="26"/>
          <w:szCs w:val="26"/>
        </w:rPr>
        <w:t>100,0</w:t>
      </w:r>
      <w:r w:rsidR="00CA6409">
        <w:rPr>
          <w:sz w:val="26"/>
          <w:szCs w:val="26"/>
        </w:rPr>
        <w:t>%;</w:t>
      </w:r>
    </w:p>
    <w:p w:rsidR="00B84505" w:rsidRDefault="00741257" w:rsidP="007C0941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741257">
        <w:rPr>
          <w:sz w:val="26"/>
          <w:szCs w:val="26"/>
        </w:rPr>
        <w:t>н</w:t>
      </w:r>
      <w:r>
        <w:rPr>
          <w:sz w:val="26"/>
          <w:szCs w:val="26"/>
        </w:rPr>
        <w:t>ой</w:t>
      </w:r>
      <w:r w:rsidRPr="00741257">
        <w:rPr>
          <w:sz w:val="26"/>
          <w:szCs w:val="26"/>
        </w:rPr>
        <w:t xml:space="preserve"> межбюджетны</w:t>
      </w:r>
      <w:r>
        <w:rPr>
          <w:sz w:val="26"/>
          <w:szCs w:val="26"/>
        </w:rPr>
        <w:t>й</w:t>
      </w:r>
      <w:r w:rsidRPr="00741257">
        <w:rPr>
          <w:sz w:val="26"/>
          <w:szCs w:val="26"/>
        </w:rPr>
        <w:t xml:space="preserve"> трансферт бюджетам поселений Светлоярского муниципального района Волгоградской области на поддержку мер по обеспечению сбалансированности местных бюджетов</w:t>
      </w:r>
      <w:r w:rsidR="004348A3">
        <w:rPr>
          <w:sz w:val="26"/>
          <w:szCs w:val="26"/>
        </w:rPr>
        <w:t>, поступил в размере</w:t>
      </w:r>
      <w:r w:rsidR="007C0941">
        <w:rPr>
          <w:sz w:val="26"/>
          <w:szCs w:val="26"/>
        </w:rPr>
        <w:t xml:space="preserve">                 </w:t>
      </w:r>
      <w:r w:rsidR="004348A3">
        <w:rPr>
          <w:sz w:val="26"/>
          <w:szCs w:val="26"/>
        </w:rPr>
        <w:t xml:space="preserve"> </w:t>
      </w:r>
      <w:r w:rsidR="007C0941">
        <w:rPr>
          <w:sz w:val="26"/>
          <w:szCs w:val="26"/>
        </w:rPr>
        <w:t xml:space="preserve">1 </w:t>
      </w:r>
      <w:r w:rsidR="007F67F2">
        <w:rPr>
          <w:sz w:val="26"/>
          <w:szCs w:val="26"/>
        </w:rPr>
        <w:t>5</w:t>
      </w:r>
      <w:r w:rsidR="007C0941">
        <w:rPr>
          <w:sz w:val="26"/>
          <w:szCs w:val="26"/>
        </w:rPr>
        <w:t>00</w:t>
      </w:r>
      <w:r w:rsidR="00CC3F2C">
        <w:rPr>
          <w:sz w:val="26"/>
          <w:szCs w:val="26"/>
        </w:rPr>
        <w:t>,0</w:t>
      </w:r>
      <w:r w:rsidR="004348A3">
        <w:rPr>
          <w:sz w:val="26"/>
          <w:szCs w:val="26"/>
        </w:rPr>
        <w:t xml:space="preserve"> тыс. рублей, бюджетные</w:t>
      </w:r>
      <w:r w:rsidR="00B84505">
        <w:rPr>
          <w:sz w:val="26"/>
          <w:szCs w:val="26"/>
        </w:rPr>
        <w:t xml:space="preserve"> назначения исполнены на </w:t>
      </w:r>
      <w:r w:rsidR="007F67F2">
        <w:rPr>
          <w:sz w:val="26"/>
          <w:szCs w:val="26"/>
        </w:rPr>
        <w:t>81,8%;</w:t>
      </w:r>
    </w:p>
    <w:p w:rsidR="007F67F2" w:rsidRDefault="007F67F2" w:rsidP="007C0941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иной</w:t>
      </w:r>
      <w:r w:rsidRPr="007F67F2">
        <w:rPr>
          <w:sz w:val="26"/>
          <w:szCs w:val="26"/>
        </w:rPr>
        <w:t xml:space="preserve"> межбюджетны</w:t>
      </w:r>
      <w:r>
        <w:rPr>
          <w:sz w:val="26"/>
          <w:szCs w:val="26"/>
        </w:rPr>
        <w:t>й трансферт</w:t>
      </w:r>
      <w:r w:rsidRPr="007F67F2">
        <w:rPr>
          <w:sz w:val="26"/>
          <w:szCs w:val="26"/>
        </w:rPr>
        <w:t xml:space="preserve"> на осуществление части полномочий по организации ритуальных услуг и содержанию мест захоронения</w:t>
      </w:r>
      <w:r>
        <w:rPr>
          <w:sz w:val="26"/>
          <w:szCs w:val="26"/>
        </w:rPr>
        <w:t>, поступили в размере 5,0 тыс. рублей.</w:t>
      </w:r>
      <w:r w:rsidRPr="007F67F2">
        <w:rPr>
          <w:sz w:val="26"/>
          <w:szCs w:val="26"/>
        </w:rPr>
        <w:t xml:space="preserve">  </w:t>
      </w:r>
    </w:p>
    <w:p w:rsidR="005F484D" w:rsidRDefault="005F484D" w:rsidP="007C0941">
      <w:pPr>
        <w:tabs>
          <w:tab w:val="left" w:pos="1140"/>
        </w:tabs>
        <w:ind w:firstLine="709"/>
        <w:jc w:val="both"/>
        <w:rPr>
          <w:sz w:val="26"/>
          <w:szCs w:val="26"/>
        </w:rPr>
      </w:pPr>
    </w:p>
    <w:p w:rsidR="00E97672" w:rsidRDefault="00E97672" w:rsidP="00E976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Расходы бюджета поселения</w:t>
      </w:r>
    </w:p>
    <w:p w:rsidR="00E97672" w:rsidRDefault="00E97672" w:rsidP="00E97672">
      <w:pPr>
        <w:spacing w:befor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на 2019 год утверждены в сумме 9 043,2 тыс. рублей, исполнение – 8 615,6 тыс. рублей. План годовых назначений выполнен на 95,3%. По сравнению с 2018 годом расходы уменьшились на 7 099,5 тыс. рублей или на 45,2 %.</w:t>
      </w:r>
    </w:p>
    <w:p w:rsidR="00E97672" w:rsidRDefault="00E97672" w:rsidP="00E976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2019 год по разделам классификации бюджета характеризуется следующими данными:</w:t>
      </w:r>
    </w:p>
    <w:p w:rsidR="00E97672" w:rsidRDefault="00E97672" w:rsidP="00E97672">
      <w:pPr>
        <w:ind w:firstLine="709"/>
        <w:jc w:val="right"/>
      </w:pPr>
      <w:r>
        <w:t>тыс. рублей</w:t>
      </w:r>
    </w:p>
    <w:tbl>
      <w:tblPr>
        <w:tblW w:w="10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418"/>
        <w:gridCol w:w="1275"/>
        <w:gridCol w:w="1276"/>
        <w:gridCol w:w="1134"/>
        <w:gridCol w:w="1631"/>
      </w:tblGrid>
      <w:tr w:rsidR="00E97672" w:rsidTr="00E97672">
        <w:trPr>
          <w:gridAfter w:val="1"/>
          <w:wAfter w:w="1631" w:type="dxa"/>
          <w:trHeight w:val="8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72" w:rsidRDefault="00E97672" w:rsidP="00916D7E">
            <w:pPr>
              <w:jc w:val="center"/>
            </w:pPr>
            <w:r>
              <w:t xml:space="preserve">Плановые назначения на 2019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</w:pPr>
            <w:r>
              <w:t>Фактическое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</w:pPr>
            <w:r>
              <w:t>% исполнения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2" w:rsidRDefault="00E97672">
            <w:pPr>
              <w:jc w:val="center"/>
            </w:pPr>
            <w:r>
              <w:t>Отклонение 2019 года от 2018 года</w:t>
            </w:r>
          </w:p>
          <w:p w:rsidR="00E97672" w:rsidRDefault="00E97672">
            <w:pPr>
              <w:jc w:val="center"/>
            </w:pPr>
            <w:r>
              <w:t xml:space="preserve">+,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72" w:rsidRDefault="00E97672">
            <w:pPr>
              <w:jc w:val="center"/>
            </w:pPr>
            <w:r>
              <w:t xml:space="preserve">2019 год </w:t>
            </w:r>
          </w:p>
          <w:p w:rsidR="00E97672" w:rsidRDefault="00E97672">
            <w:pPr>
              <w:jc w:val="center"/>
            </w:pPr>
            <w:r>
              <w:t xml:space="preserve">к 2018 году </w:t>
            </w:r>
          </w:p>
          <w:p w:rsidR="00E97672" w:rsidRDefault="00E97672">
            <w:pPr>
              <w:jc w:val="center"/>
            </w:pPr>
            <w:r>
              <w:t>в %</w:t>
            </w:r>
          </w:p>
        </w:tc>
      </w:tr>
      <w:tr w:rsidR="00E97672" w:rsidTr="00E97672">
        <w:trPr>
          <w:gridAfter w:val="1"/>
          <w:wAfter w:w="1631" w:type="dxa"/>
          <w:trHeight w:val="3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72" w:rsidRDefault="00E9767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72" w:rsidRDefault="00E97672">
            <w:pPr>
              <w:jc w:val="center"/>
            </w:pPr>
            <w:r>
              <w:t>6</w:t>
            </w:r>
          </w:p>
        </w:tc>
      </w:tr>
      <w:tr w:rsidR="00E97672" w:rsidTr="00E97672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1631" w:type="dxa"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</w:p>
        </w:tc>
      </w:tr>
      <w:tr w:rsidR="00E97672" w:rsidTr="00E97672">
        <w:trPr>
          <w:gridAfter w:val="1"/>
          <w:wAfter w:w="1631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E97672" w:rsidTr="00E97672">
        <w:trPr>
          <w:gridAfter w:val="1"/>
          <w:wAfter w:w="1631" w:type="dxa"/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</w:tr>
      <w:tr w:rsidR="00E97672" w:rsidTr="00E97672">
        <w:trPr>
          <w:gridAfter w:val="1"/>
          <w:wAfter w:w="1631" w:type="dxa"/>
          <w:trHeight w:val="3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</w:tr>
      <w:tr w:rsidR="00E97672" w:rsidTr="00E97672">
        <w:trPr>
          <w:gridAfter w:val="1"/>
          <w:wAfter w:w="1631" w:type="dxa"/>
          <w:trHeight w:val="3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- 6 901,4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E97672" w:rsidTr="00E97672">
        <w:trPr>
          <w:gridAfter w:val="1"/>
          <w:wAfter w:w="1631" w:type="dxa"/>
          <w:trHeight w:val="3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E97672" w:rsidTr="00E97672">
        <w:trPr>
          <w:gridAfter w:val="1"/>
          <w:wAfter w:w="1631" w:type="dxa"/>
          <w:trHeight w:val="3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</w:tr>
      <w:tr w:rsidR="00E97672" w:rsidTr="00E97672">
        <w:trPr>
          <w:gridAfter w:val="1"/>
          <w:wAfter w:w="1631" w:type="dxa"/>
          <w:trHeight w:val="3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97672" w:rsidTr="00E97672">
        <w:trPr>
          <w:gridAfter w:val="1"/>
          <w:wAfter w:w="1631" w:type="dxa"/>
          <w:trHeight w:val="37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72" w:rsidRDefault="00E97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- 7 099,5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72" w:rsidRDefault="00E97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</w:tbl>
    <w:p w:rsidR="00E97672" w:rsidRDefault="00E97672" w:rsidP="00E97672">
      <w:pPr>
        <w:ind w:firstLine="709"/>
        <w:jc w:val="both"/>
        <w:rPr>
          <w:noProof/>
          <w:sz w:val="26"/>
          <w:szCs w:val="26"/>
        </w:rPr>
      </w:pPr>
    </w:p>
    <w:p w:rsidR="00E97672" w:rsidRDefault="00E97672" w:rsidP="00E97672">
      <w:pPr>
        <w:ind w:firstLine="709"/>
        <w:jc w:val="both"/>
        <w:rPr>
          <w:noProof/>
        </w:rPr>
      </w:pPr>
      <w:r>
        <w:rPr>
          <w:noProof/>
          <w:sz w:val="26"/>
          <w:szCs w:val="26"/>
        </w:rPr>
        <w:t>Структура исполнения расходов бюджета Цацинского сельского поселения по разделам классификации расходов бюджета представлена на рисунке 2.</w:t>
      </w:r>
      <w:r>
        <w:rPr>
          <w:noProof/>
        </w:rPr>
        <w:t xml:space="preserve"> </w:t>
      </w:r>
    </w:p>
    <w:p w:rsidR="00E97672" w:rsidRDefault="00E97672" w:rsidP="00E97672">
      <w:pPr>
        <w:jc w:val="center"/>
        <w:rPr>
          <w:b/>
          <w:sz w:val="24"/>
          <w:szCs w:val="24"/>
        </w:rPr>
      </w:pPr>
      <w:bookmarkStart w:id="0" w:name="_MON_1457261408"/>
      <w:bookmarkStart w:id="1" w:name="_MON_1457261442"/>
      <w:bookmarkStart w:id="2" w:name="_MON_1457262002"/>
      <w:bookmarkStart w:id="3" w:name="_MON_1457262086"/>
      <w:bookmarkEnd w:id="0"/>
      <w:bookmarkEnd w:id="1"/>
      <w:bookmarkEnd w:id="2"/>
      <w:bookmarkEnd w:id="3"/>
      <w:r>
        <w:rPr>
          <w:b/>
          <w:noProof/>
        </w:rPr>
        <w:lastRenderedPageBreak/>
        <w:drawing>
          <wp:inline distT="0" distB="0" distL="0" distR="0" wp14:anchorId="352EE36B" wp14:editId="62D75104">
            <wp:extent cx="5716905" cy="2790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7672" w:rsidRDefault="00E97672" w:rsidP="00E97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Рис. 2. Структура расходов бюджета </w:t>
      </w:r>
    </w:p>
    <w:p w:rsidR="00E97672" w:rsidRDefault="00E97672" w:rsidP="00E9767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сельского поселения за 2019 год</w:t>
      </w:r>
    </w:p>
    <w:p w:rsidR="00E97672" w:rsidRDefault="00E97672" w:rsidP="00E97672">
      <w:pPr>
        <w:spacing w:before="240"/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bookmarkStart w:id="4" w:name="_MON_1455539725"/>
      <w:bookmarkStart w:id="5" w:name="_MON_1456134948"/>
      <w:bookmarkStart w:id="6" w:name="_MON_1457849262"/>
      <w:bookmarkStart w:id="7" w:name="_MON_1457856856"/>
      <w:bookmarkStart w:id="8" w:name="_MON_1457856899"/>
      <w:bookmarkStart w:id="9" w:name="_MON_1456228705"/>
      <w:bookmarkStart w:id="10" w:name="_MON_1456228886"/>
      <w:bookmarkStart w:id="11" w:name="_MON_1456135458"/>
      <w:bookmarkStart w:id="12" w:name="_MON_1456135952"/>
      <w:bookmarkStart w:id="13" w:name="_MON_1457944118"/>
      <w:bookmarkStart w:id="14" w:name="_MON_1457952117"/>
      <w:bookmarkStart w:id="15" w:name="_MON_1456136015"/>
      <w:bookmarkStart w:id="16" w:name="_MON_1458019071"/>
      <w:bookmarkStart w:id="17" w:name="_MON_1456136126"/>
      <w:bookmarkStart w:id="18" w:name="_MON_1456136274"/>
      <w:bookmarkStart w:id="19" w:name="_MON_145613660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>
        <w:rPr>
          <w:sz w:val="26"/>
          <w:szCs w:val="26"/>
        </w:rPr>
        <w:t xml:space="preserve"> структуре исполнения расходов бюджета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за 2019 год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наибольший удельный вес занимают расходы 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0100 «Общегосударственные вопросы»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- 42,1 %, а наименьший 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0200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«Национальная оборона»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- 0,8% в общей сумме расходов.</w:t>
      </w:r>
    </w:p>
    <w:p w:rsidR="00E97672" w:rsidRDefault="00E97672" w:rsidP="00E97672">
      <w:pPr>
        <w:spacing w:before="240"/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По разделам классификации бюджета исполнение бюджета по расходам следующее.</w:t>
      </w:r>
    </w:p>
    <w:p w:rsidR="00E97672" w:rsidRDefault="00E97672" w:rsidP="00E97672">
      <w:pPr>
        <w:spacing w:before="240"/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0100 «Общегосударственные вопросы»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составили   3 627,6 тыс. рублей, что составляет 42,1 % в общей сумме расходов. Годовые плановые назначения выполнены на 95,7 %. По сравнению с 2018 годом расходы увеличились на 391,2 тыс. рублей или на 12,1 %. </w:t>
      </w:r>
    </w:p>
    <w:p w:rsidR="00E97672" w:rsidRDefault="00E97672" w:rsidP="00E97672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Расходы по подразделам составили:</w:t>
      </w:r>
    </w:p>
    <w:p w:rsidR="00E97672" w:rsidRDefault="00E97672" w:rsidP="00E976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подразделу</w:t>
      </w:r>
      <w:r>
        <w:rPr>
          <w:b/>
          <w:sz w:val="26"/>
          <w:szCs w:val="26"/>
        </w:rPr>
        <w:t xml:space="preserve"> 0102</w:t>
      </w:r>
      <w:r>
        <w:rPr>
          <w:sz w:val="26"/>
          <w:szCs w:val="26"/>
        </w:rPr>
        <w:t xml:space="preserve"> «Функционирование высшего должностного лица субъекта Российской Федерации и муниципального образования» - 722,5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лей, годовые плановые назначения выполнены на 99,6</w:t>
      </w:r>
      <w:r>
        <w:rPr>
          <w:sz w:val="26"/>
          <w:szCs w:val="26"/>
        </w:rPr>
        <w:t xml:space="preserve"> %;</w:t>
      </w:r>
    </w:p>
    <w:p w:rsidR="00E97672" w:rsidRDefault="00E97672" w:rsidP="00E976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>
        <w:rPr>
          <w:b/>
          <w:sz w:val="26"/>
          <w:szCs w:val="26"/>
        </w:rPr>
        <w:t>0104</w:t>
      </w:r>
      <w:r>
        <w:rPr>
          <w:sz w:val="26"/>
          <w:szCs w:val="26"/>
        </w:rPr>
        <w:t xml:space="preserve"> «Функционирование Правительства Российской Федерации, высших исполнительных органов власти субъектов Российской Федерации, местных администраций» - 2 070,1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лей,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годовые плановые назначения выполнены на 95,2</w:t>
      </w:r>
      <w:r>
        <w:rPr>
          <w:sz w:val="26"/>
          <w:szCs w:val="26"/>
        </w:rPr>
        <w:t xml:space="preserve"> %;</w:t>
      </w:r>
    </w:p>
    <w:p w:rsidR="00E97672" w:rsidRDefault="00E97672" w:rsidP="00E97672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>
        <w:rPr>
          <w:b/>
          <w:sz w:val="26"/>
          <w:szCs w:val="26"/>
        </w:rPr>
        <w:t>0106</w:t>
      </w:r>
      <w:r>
        <w:rPr>
          <w:sz w:val="26"/>
          <w:szCs w:val="26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- 90,0 тыс. рублей,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годовые плановые назначения выполнены на     100,0</w:t>
      </w:r>
      <w:r>
        <w:rPr>
          <w:sz w:val="26"/>
          <w:szCs w:val="26"/>
        </w:rPr>
        <w:t xml:space="preserve"> %;</w:t>
      </w:r>
    </w:p>
    <w:p w:rsidR="00E97672" w:rsidRDefault="00E97672" w:rsidP="00E97672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>
        <w:rPr>
          <w:b/>
          <w:sz w:val="26"/>
          <w:szCs w:val="26"/>
        </w:rPr>
        <w:t>0107</w:t>
      </w:r>
      <w:r>
        <w:rPr>
          <w:sz w:val="26"/>
          <w:szCs w:val="26"/>
        </w:rPr>
        <w:t xml:space="preserve"> «Обеспечение проведения выборов и референдумов» - 151,7 тыс. рублей,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годовые плановые назначения выполнены на 100,0</w:t>
      </w:r>
      <w:r>
        <w:rPr>
          <w:sz w:val="26"/>
          <w:szCs w:val="26"/>
        </w:rPr>
        <w:t xml:space="preserve"> %;</w:t>
      </w:r>
    </w:p>
    <w:p w:rsidR="00E97672" w:rsidRDefault="00E97672" w:rsidP="00E976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>
        <w:rPr>
          <w:b/>
          <w:sz w:val="26"/>
          <w:szCs w:val="26"/>
        </w:rPr>
        <w:t>0111</w:t>
      </w:r>
      <w:r>
        <w:rPr>
          <w:sz w:val="26"/>
          <w:szCs w:val="26"/>
        </w:rPr>
        <w:t xml:space="preserve"> «Резервные фонды» при плановых назначениях в   5,0 тыс. рублей фактически расходы не осуществлялись;</w:t>
      </w:r>
    </w:p>
    <w:p w:rsidR="00E97672" w:rsidRDefault="00E97672" w:rsidP="00E976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>
        <w:rPr>
          <w:b/>
          <w:sz w:val="26"/>
          <w:szCs w:val="26"/>
        </w:rPr>
        <w:t>0113</w:t>
      </w:r>
      <w:r>
        <w:rPr>
          <w:sz w:val="26"/>
          <w:szCs w:val="26"/>
        </w:rPr>
        <w:t xml:space="preserve"> «Другие общегосударственные вопросы» - 593,3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годовые плановые назначения выполнены на 92,2</w:t>
      </w:r>
      <w:r>
        <w:rPr>
          <w:sz w:val="26"/>
          <w:szCs w:val="26"/>
        </w:rPr>
        <w:t xml:space="preserve"> %.</w:t>
      </w:r>
    </w:p>
    <w:p w:rsidR="00E97672" w:rsidRDefault="00E97672" w:rsidP="00E97672">
      <w:pPr>
        <w:spacing w:before="24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>По разделу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0200 «Национальная оборона»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0203 «Мобилизационная и вневойсковая подготовка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)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сумма расходов составила   73,2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– 0,8 %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общей сумме расходов. Годовые плановые назначения выполнены на 100,0 %. По сравнению с 2018 годом расходы увеличились на    3,2 тыс. рублей или на 4,6 %.</w:t>
      </w:r>
    </w:p>
    <w:p w:rsidR="00E97672" w:rsidRDefault="00E97672" w:rsidP="00E97672">
      <w:pPr>
        <w:spacing w:before="240"/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По разделу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0300 «</w:t>
      </w:r>
      <w:r>
        <w:rPr>
          <w:b/>
          <w:sz w:val="26"/>
          <w:szCs w:val="26"/>
        </w:rPr>
        <w:t>Национальная безопасность и правоохранительная деятельность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</w:t>
      </w:r>
      <w:r>
        <w:rPr>
          <w:sz w:val="26"/>
          <w:szCs w:val="26"/>
        </w:rPr>
        <w:t xml:space="preserve">подраздел 0310 «Обеспечение пожарной безопасности»)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сумма расходов составила 200,0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– 2,3%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общей сумме расходов.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Годовые плановые назначения выполнены на 100,0 %. По сравнению с 2018 годом расходы по разделу увеличились на 55,6 тыс. рублей или на 38,5 %. </w:t>
      </w:r>
    </w:p>
    <w:p w:rsidR="00E97672" w:rsidRDefault="00E97672" w:rsidP="00E97672">
      <w:pPr>
        <w:spacing w:before="240"/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0400 «Национальная экономика»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</w:t>
      </w:r>
      <w:r>
        <w:rPr>
          <w:sz w:val="26"/>
          <w:szCs w:val="26"/>
        </w:rPr>
        <w:t xml:space="preserve">подраздел </w:t>
      </w:r>
      <w:r>
        <w:rPr>
          <w:b/>
          <w:sz w:val="26"/>
          <w:szCs w:val="26"/>
        </w:rPr>
        <w:t xml:space="preserve">0409 </w:t>
      </w:r>
      <w:r>
        <w:rPr>
          <w:sz w:val="26"/>
          <w:szCs w:val="26"/>
        </w:rPr>
        <w:t xml:space="preserve">«Дорожное хозяйство (дорожные фонды)»)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сумма расходов составила 343,9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– 4,0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расходов. Годовые плановые назначения выполнены на 100,0 %. По сравнению с 2018 годом расходы увеличились на  26,5 тыс. рублей или на 8,3 %. </w:t>
      </w:r>
    </w:p>
    <w:p w:rsidR="00E97672" w:rsidRDefault="00E97672" w:rsidP="00E97672">
      <w:pPr>
        <w:spacing w:before="240"/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0500 «Жилищно-коммунальное хозяйство»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1 041,7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– 12,1 % в общей сумме расходов. Годовые плановые назначения выполнены на 98,7%. По сравнению с 2018 годом расходы уменьшились на 6 901,4 тыс. рублей или на 86,9 %.</w:t>
      </w:r>
    </w:p>
    <w:p w:rsidR="00E97672" w:rsidRDefault="00E97672" w:rsidP="00E97672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Расходы по подразделам составили:</w:t>
      </w:r>
    </w:p>
    <w:p w:rsidR="00E97672" w:rsidRDefault="00E97672" w:rsidP="00E97672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>
        <w:rPr>
          <w:b/>
          <w:sz w:val="26"/>
          <w:szCs w:val="26"/>
        </w:rPr>
        <w:t>0501</w:t>
      </w:r>
      <w:r>
        <w:rPr>
          <w:sz w:val="26"/>
          <w:szCs w:val="26"/>
        </w:rPr>
        <w:t xml:space="preserve"> «Жилищное хозяйство»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31,1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лей, годовые плановые назначения выполнены на 90,9 %;</w:t>
      </w:r>
    </w:p>
    <w:p w:rsidR="00E97672" w:rsidRDefault="00E97672" w:rsidP="00E97672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sz w:val="26"/>
          <w:szCs w:val="26"/>
        </w:rPr>
        <w:t xml:space="preserve">- по подразделу </w:t>
      </w:r>
      <w:r>
        <w:rPr>
          <w:b/>
          <w:sz w:val="26"/>
          <w:szCs w:val="26"/>
        </w:rPr>
        <w:t>0503</w:t>
      </w:r>
      <w:r>
        <w:rPr>
          <w:sz w:val="26"/>
          <w:szCs w:val="26"/>
        </w:rPr>
        <w:t xml:space="preserve"> «Благоустройство» - 1 010,6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годовые плановые назначения выполнены на 98,9%.</w:t>
      </w:r>
    </w:p>
    <w:p w:rsidR="00E97672" w:rsidRDefault="00E97672" w:rsidP="00E97672">
      <w:pPr>
        <w:spacing w:before="240"/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0700 «</w:t>
      </w:r>
      <w:r>
        <w:rPr>
          <w:b/>
          <w:sz w:val="26"/>
          <w:szCs w:val="26"/>
        </w:rPr>
        <w:t>Образование»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</w:t>
      </w:r>
      <w:r>
        <w:rPr>
          <w:sz w:val="26"/>
          <w:szCs w:val="26"/>
        </w:rPr>
        <w:t xml:space="preserve">подраздел </w:t>
      </w:r>
      <w:r>
        <w:rPr>
          <w:b/>
          <w:sz w:val="26"/>
          <w:szCs w:val="26"/>
        </w:rPr>
        <w:t>0707</w:t>
      </w:r>
      <w:r>
        <w:rPr>
          <w:sz w:val="26"/>
          <w:szCs w:val="26"/>
        </w:rPr>
        <w:t xml:space="preserve"> «Молодежная политика»)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сумма расходов составила 1 437,2</w:t>
      </w:r>
      <w:r>
        <w:rPr>
          <w:sz w:val="26"/>
          <w:szCs w:val="26"/>
        </w:rPr>
        <w:t xml:space="preserve">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– 16,7 %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общей сумме расходов. Годовые плано</w:t>
      </w:r>
      <w:r w:rsidR="00916D7E">
        <w:rPr>
          <w:rFonts w:ascii="Times New Roman CYR" w:hAnsi="Times New Roman CYR" w:cs="Times New Roman CYR"/>
          <w:bCs/>
          <w:iCs/>
          <w:sz w:val="26"/>
          <w:szCs w:val="26"/>
        </w:rPr>
        <w:t>вые назначения выполнены на 97,2</w:t>
      </w:r>
      <w:bookmarkStart w:id="20" w:name="_GoBack"/>
      <w:bookmarkEnd w:id="20"/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 По сравнению с 2018 годом расходы увеличились на 96,3 тыс. рублей или на 7,2 %.</w:t>
      </w:r>
    </w:p>
    <w:p w:rsidR="00E97672" w:rsidRDefault="00E97672" w:rsidP="00E97672">
      <w:pPr>
        <w:spacing w:before="240"/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0800 «Культура, кинематография»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0801 «Культура») сумма расходов составила 1 766,0 тыс. рублей – 20,5 % в общей сумме расходов. Годовые плановые назначения выполнены на 89,4 %. По сравнению с 2018 годом расходы уменьшились на 109,4 тыс. рублей или на      5,8 %.</w:t>
      </w:r>
    </w:p>
    <w:p w:rsidR="00E97672" w:rsidRDefault="00E97672" w:rsidP="00E97672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 обеспечение деятельности МКУК «Дом культуры </w:t>
      </w:r>
      <w:proofErr w:type="spellStart"/>
      <w:r>
        <w:rPr>
          <w:rFonts w:ascii="Times New Roman CYR" w:hAnsi="Times New Roman CYR" w:cs="Times New Roman CYR"/>
          <w:bCs/>
          <w:iCs/>
          <w:sz w:val="26"/>
          <w:szCs w:val="26"/>
        </w:rPr>
        <w:t>Цацинского</w:t>
      </w:r>
      <w:proofErr w:type="spellEnd"/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сельского поселения» расходы составили 1 149,5 тыс. рублей.</w:t>
      </w:r>
    </w:p>
    <w:p w:rsidR="00E97672" w:rsidRDefault="00E97672" w:rsidP="00E97672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На обеспечение деятельности МКУК «</w:t>
      </w:r>
      <w:proofErr w:type="spellStart"/>
      <w:r>
        <w:rPr>
          <w:rFonts w:ascii="Times New Roman CYR" w:hAnsi="Times New Roman CYR" w:cs="Times New Roman CYR"/>
          <w:bCs/>
          <w:iCs/>
          <w:sz w:val="26"/>
          <w:szCs w:val="26"/>
        </w:rPr>
        <w:t>Цацинская</w:t>
      </w:r>
      <w:proofErr w:type="spellEnd"/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сельская библиотека» расходы составили 563,5 тыс. рублей. </w:t>
      </w:r>
    </w:p>
    <w:p w:rsidR="00E97672" w:rsidRDefault="00E97672" w:rsidP="00E97672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Уплачено налогов учреждениями культуры 53,0 тыс. рублей.</w:t>
      </w:r>
    </w:p>
    <w:p w:rsidR="00E97672" w:rsidRDefault="00E97672" w:rsidP="00E97672">
      <w:pPr>
        <w:spacing w:before="240"/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1000 «Социальная политика»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</w:t>
      </w:r>
      <w:r>
        <w:rPr>
          <w:sz w:val="26"/>
          <w:szCs w:val="26"/>
        </w:rPr>
        <w:t xml:space="preserve">подраздел </w:t>
      </w:r>
      <w:r>
        <w:rPr>
          <w:b/>
          <w:sz w:val="26"/>
          <w:szCs w:val="26"/>
        </w:rPr>
        <w:t>1001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Пенсионное обеспечение</w:t>
      </w:r>
      <w:r>
        <w:rPr>
          <w:b/>
          <w:sz w:val="26"/>
          <w:szCs w:val="26"/>
        </w:rPr>
        <w:t xml:space="preserve">»)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сумма расходов составила </w:t>
      </w:r>
      <w:r>
        <w:rPr>
          <w:sz w:val="26"/>
          <w:szCs w:val="26"/>
        </w:rPr>
        <w:t>126,0 тыс. руб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лей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– 1,5 % в общей сумме расходов. Годовые плановые назначения выполнены на 100,0 %. По сравнению с 2018 годом расходы уменьшились на 661,5 тыс. рублей или на    84,0 %.</w:t>
      </w:r>
    </w:p>
    <w:p w:rsidR="00E97672" w:rsidRDefault="00E97672" w:rsidP="00E97672">
      <w:pPr>
        <w:spacing w:before="240"/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lastRenderedPageBreak/>
        <w:t>Экономическая структура расходов бюджета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поселения характеризуется следующими показателями (рисунок 3).</w:t>
      </w:r>
    </w:p>
    <w:p w:rsidR="00E97672" w:rsidRDefault="00E97672" w:rsidP="00E97672">
      <w:pPr>
        <w:ind w:firstLine="709"/>
        <w:jc w:val="both"/>
        <w:rPr>
          <w:rFonts w:ascii="Times New Roman CYR" w:hAnsi="Times New Roman CYR" w:cs="Times New Roman CYR"/>
          <w:bCs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BFBCA" wp14:editId="73075F74">
            <wp:simplePos x="0" y="0"/>
            <wp:positionH relativeFrom="column">
              <wp:posOffset>40640</wp:posOffset>
            </wp:positionH>
            <wp:positionV relativeFrom="paragraph">
              <wp:posOffset>219710</wp:posOffset>
            </wp:positionV>
            <wp:extent cx="5780405" cy="2138680"/>
            <wp:effectExtent l="0" t="0" r="0" b="0"/>
            <wp:wrapThrough wrapText="bothSides">
              <wp:wrapPolygon edited="0">
                <wp:start x="0" y="0"/>
                <wp:lineTo x="0" y="21356"/>
                <wp:lineTo x="21498" y="21356"/>
                <wp:lineTo x="21498" y="0"/>
                <wp:lineTo x="0" y="0"/>
              </wp:wrapPolygon>
            </wp:wrapThrough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672" w:rsidRDefault="00E97672" w:rsidP="00E9767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Рис. 3. Экономическая структура расходов бюджета </w:t>
      </w:r>
    </w:p>
    <w:p w:rsidR="00E97672" w:rsidRDefault="00E97672" w:rsidP="00E97672">
      <w:pPr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сельского поселения за 2019 год</w:t>
      </w:r>
    </w:p>
    <w:p w:rsidR="00E97672" w:rsidRDefault="00E97672" w:rsidP="00E97672">
      <w:pPr>
        <w:spacing w:befor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выплаты персоналу и взносы на обязательное социальное страхование сумма расходов составила 5 321,3 тыс. рублей или 61,8 % в общей сумме расходов бюджета.</w:t>
      </w:r>
    </w:p>
    <w:p w:rsidR="00E97672" w:rsidRDefault="00E97672" w:rsidP="00E976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закупки товаров, работ и услуг для муниципальных нужд расходы составили 2 563,4 тыс. рублей или 29,7 % в общей сумме расходов.</w:t>
      </w:r>
    </w:p>
    <w:p w:rsidR="00E97672" w:rsidRDefault="00E97672" w:rsidP="00E976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социальное обеспечение и иные выплаты населению расходы составили 325,8 тыс. рублей или 3,8 % в общей сумме расходов.</w:t>
      </w:r>
    </w:p>
    <w:p w:rsidR="00E97672" w:rsidRDefault="00E97672" w:rsidP="00E9767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межбюджетный трансферт в муниципальный район по Соглашению о передаче части полномочий поселения муниципальному району сумма расходов составила 184,4 тыс. рублей или 2,1 % в общей сумме расходов. </w:t>
      </w:r>
    </w:p>
    <w:p w:rsidR="00E97672" w:rsidRDefault="00E97672" w:rsidP="00E976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иные бюджетные ассигнования сумма расходов составила 220,7 тыс. рублей или 2,6 % в общей сумме расходов бюджета. </w:t>
      </w:r>
    </w:p>
    <w:p w:rsidR="00E97672" w:rsidRDefault="00E97672" w:rsidP="00E97672">
      <w:pPr>
        <w:spacing w:befor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по ведомственной структуре расходов исполнение бюджетных назначений по главному распорядителю бюджетных средств составило 8 615,6 тыс. рублей. </w:t>
      </w:r>
    </w:p>
    <w:p w:rsidR="003441B4" w:rsidRDefault="003441B4" w:rsidP="0011281A">
      <w:pPr>
        <w:jc w:val="center"/>
        <w:rPr>
          <w:b/>
          <w:sz w:val="26"/>
          <w:szCs w:val="26"/>
        </w:rPr>
      </w:pPr>
    </w:p>
    <w:p w:rsidR="000E0370" w:rsidRDefault="003441B4" w:rsidP="001128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:rsidR="003441B4" w:rsidRDefault="003441B4" w:rsidP="0011281A">
      <w:pPr>
        <w:jc w:val="center"/>
        <w:rPr>
          <w:sz w:val="26"/>
          <w:szCs w:val="26"/>
        </w:rPr>
      </w:pPr>
    </w:p>
    <w:p w:rsidR="0011281A" w:rsidRPr="00704900" w:rsidRDefault="0011281A" w:rsidP="00704900">
      <w:pPr>
        <w:ind w:firstLine="709"/>
        <w:jc w:val="both"/>
        <w:rPr>
          <w:sz w:val="26"/>
          <w:szCs w:val="26"/>
        </w:rPr>
      </w:pPr>
      <w:r w:rsidRPr="00704900">
        <w:rPr>
          <w:sz w:val="26"/>
          <w:szCs w:val="26"/>
        </w:rPr>
        <w:t xml:space="preserve">Бюджет </w:t>
      </w:r>
      <w:proofErr w:type="spellStart"/>
      <w:r w:rsidR="00B7065E">
        <w:rPr>
          <w:sz w:val="26"/>
          <w:szCs w:val="26"/>
        </w:rPr>
        <w:t>Цацинского</w:t>
      </w:r>
      <w:proofErr w:type="spellEnd"/>
      <w:r w:rsidRPr="00704900">
        <w:rPr>
          <w:sz w:val="26"/>
          <w:szCs w:val="26"/>
        </w:rPr>
        <w:t xml:space="preserve"> сельского поселения на </w:t>
      </w:r>
      <w:r w:rsidR="00731672">
        <w:rPr>
          <w:sz w:val="26"/>
          <w:szCs w:val="26"/>
        </w:rPr>
        <w:t>201</w:t>
      </w:r>
      <w:r w:rsidR="00975EC6">
        <w:rPr>
          <w:sz w:val="26"/>
          <w:szCs w:val="26"/>
        </w:rPr>
        <w:t>9</w:t>
      </w:r>
      <w:r w:rsidRPr="00704900">
        <w:rPr>
          <w:sz w:val="26"/>
          <w:szCs w:val="26"/>
        </w:rPr>
        <w:t xml:space="preserve"> год  принят с дефицитом в размере </w:t>
      </w:r>
      <w:r w:rsidR="002A0A6A">
        <w:rPr>
          <w:sz w:val="26"/>
          <w:szCs w:val="26"/>
        </w:rPr>
        <w:t>1 </w:t>
      </w:r>
      <w:r w:rsidR="00975EC6">
        <w:rPr>
          <w:sz w:val="26"/>
          <w:szCs w:val="26"/>
        </w:rPr>
        <w:t>088,2</w:t>
      </w:r>
      <w:r w:rsidR="00976AF3">
        <w:rPr>
          <w:sz w:val="26"/>
          <w:szCs w:val="26"/>
        </w:rPr>
        <w:t xml:space="preserve"> тыс. руб. </w:t>
      </w:r>
    </w:p>
    <w:p w:rsidR="00B839B0" w:rsidRDefault="0011281A" w:rsidP="007049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4900">
        <w:rPr>
          <w:sz w:val="26"/>
          <w:szCs w:val="26"/>
        </w:rPr>
        <w:t xml:space="preserve">За </w:t>
      </w:r>
      <w:r w:rsidR="005B55C8">
        <w:rPr>
          <w:sz w:val="26"/>
          <w:szCs w:val="26"/>
        </w:rPr>
        <w:t>20</w:t>
      </w:r>
      <w:r w:rsidR="00975EC6">
        <w:rPr>
          <w:sz w:val="26"/>
          <w:szCs w:val="26"/>
        </w:rPr>
        <w:t>19</w:t>
      </w:r>
      <w:r w:rsidRPr="00704900">
        <w:rPr>
          <w:sz w:val="26"/>
          <w:szCs w:val="26"/>
        </w:rPr>
        <w:t xml:space="preserve"> год бюджет поселения исполнен с превышением </w:t>
      </w:r>
      <w:r w:rsidR="00602D3A">
        <w:rPr>
          <w:sz w:val="26"/>
          <w:szCs w:val="26"/>
        </w:rPr>
        <w:t>расходов</w:t>
      </w:r>
      <w:r w:rsidRPr="00704900">
        <w:rPr>
          <w:sz w:val="26"/>
          <w:szCs w:val="26"/>
        </w:rPr>
        <w:t xml:space="preserve"> над </w:t>
      </w:r>
      <w:r w:rsidR="00602D3A">
        <w:rPr>
          <w:sz w:val="26"/>
          <w:szCs w:val="26"/>
        </w:rPr>
        <w:t>доходами</w:t>
      </w:r>
      <w:r w:rsidRPr="00704900">
        <w:rPr>
          <w:sz w:val="26"/>
          <w:szCs w:val="26"/>
        </w:rPr>
        <w:t xml:space="preserve"> </w:t>
      </w:r>
      <w:r w:rsidR="00704900">
        <w:rPr>
          <w:sz w:val="26"/>
          <w:szCs w:val="26"/>
        </w:rPr>
        <w:t>(</w:t>
      </w:r>
      <w:r w:rsidR="00602D3A">
        <w:rPr>
          <w:sz w:val="26"/>
          <w:szCs w:val="26"/>
        </w:rPr>
        <w:t>де</w:t>
      </w:r>
      <w:r w:rsidR="00704900">
        <w:rPr>
          <w:sz w:val="26"/>
          <w:szCs w:val="26"/>
        </w:rPr>
        <w:t xml:space="preserve">фицит бюджета) </w:t>
      </w:r>
      <w:r w:rsidRPr="00704900">
        <w:rPr>
          <w:sz w:val="26"/>
          <w:szCs w:val="26"/>
        </w:rPr>
        <w:t xml:space="preserve">в сумме </w:t>
      </w:r>
      <w:r w:rsidR="00975EC6">
        <w:rPr>
          <w:sz w:val="26"/>
          <w:szCs w:val="26"/>
        </w:rPr>
        <w:t>556,0</w:t>
      </w:r>
      <w:r w:rsidR="00704900">
        <w:rPr>
          <w:sz w:val="26"/>
          <w:szCs w:val="26"/>
        </w:rPr>
        <w:t xml:space="preserve"> тыс. рублей.</w:t>
      </w:r>
    </w:p>
    <w:p w:rsidR="00B405E0" w:rsidRPr="002B222B" w:rsidRDefault="00B405E0" w:rsidP="00B405E0">
      <w:pPr>
        <w:pStyle w:val="ConsNormal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  <w:r w:rsidRPr="002B222B">
        <w:rPr>
          <w:rFonts w:ascii="Times New Roman" w:hAnsi="Times New Roman"/>
          <w:sz w:val="26"/>
          <w:szCs w:val="26"/>
        </w:rPr>
        <w:t xml:space="preserve">Источниками </w:t>
      </w:r>
      <w:r>
        <w:rPr>
          <w:rFonts w:ascii="Times New Roman" w:hAnsi="Times New Roman"/>
          <w:sz w:val="26"/>
          <w:szCs w:val="26"/>
        </w:rPr>
        <w:t xml:space="preserve">внутреннего </w:t>
      </w:r>
      <w:r w:rsidRPr="002B222B">
        <w:rPr>
          <w:rFonts w:ascii="Times New Roman" w:hAnsi="Times New Roman"/>
          <w:sz w:val="26"/>
          <w:szCs w:val="26"/>
        </w:rPr>
        <w:t>фин</w:t>
      </w:r>
      <w:r>
        <w:rPr>
          <w:rFonts w:ascii="Times New Roman" w:hAnsi="Times New Roman"/>
          <w:sz w:val="26"/>
          <w:szCs w:val="26"/>
        </w:rPr>
        <w:t xml:space="preserve">ансирования дефицита бюджета за </w:t>
      </w:r>
      <w:r w:rsidR="005B55C8">
        <w:rPr>
          <w:rFonts w:ascii="Times New Roman" w:hAnsi="Times New Roman"/>
          <w:sz w:val="26"/>
          <w:szCs w:val="26"/>
        </w:rPr>
        <w:t>201</w:t>
      </w:r>
      <w:r w:rsidR="00975EC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2B222B">
        <w:rPr>
          <w:rFonts w:ascii="Times New Roman" w:hAnsi="Times New Roman"/>
          <w:sz w:val="26"/>
          <w:szCs w:val="26"/>
        </w:rPr>
        <w:t xml:space="preserve"> явилось:</w:t>
      </w:r>
    </w:p>
    <w:p w:rsidR="00B405E0" w:rsidRDefault="00B405E0" w:rsidP="00B405E0">
      <w:pPr>
        <w:pStyle w:val="ConsNormal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  <w:r w:rsidRPr="002B222B">
        <w:rPr>
          <w:rFonts w:ascii="Times New Roman" w:hAnsi="Times New Roman"/>
          <w:sz w:val="26"/>
          <w:szCs w:val="26"/>
        </w:rPr>
        <w:t>изменение остатков средств</w:t>
      </w:r>
      <w:r>
        <w:rPr>
          <w:rFonts w:ascii="Times New Roman" w:hAnsi="Times New Roman"/>
          <w:sz w:val="26"/>
          <w:szCs w:val="26"/>
        </w:rPr>
        <w:t xml:space="preserve"> на счетах по учёту средств бюджета поселения в течение финансового года </w:t>
      </w:r>
      <w:r w:rsidRPr="002B222B">
        <w:rPr>
          <w:rFonts w:ascii="Times New Roman" w:hAnsi="Times New Roman"/>
          <w:sz w:val="26"/>
          <w:szCs w:val="26"/>
        </w:rPr>
        <w:t>–</w:t>
      </w:r>
      <w:r w:rsidR="00975EC6">
        <w:rPr>
          <w:rFonts w:ascii="Times New Roman" w:hAnsi="Times New Roman"/>
          <w:sz w:val="26"/>
          <w:szCs w:val="26"/>
        </w:rPr>
        <w:t>556,0</w:t>
      </w:r>
      <w:r w:rsidR="002A0A6A">
        <w:rPr>
          <w:rFonts w:ascii="Times New Roman" w:hAnsi="Times New Roman"/>
          <w:sz w:val="26"/>
          <w:szCs w:val="26"/>
        </w:rPr>
        <w:t xml:space="preserve"> </w:t>
      </w:r>
      <w:r w:rsidRPr="002B222B">
        <w:rPr>
          <w:rFonts w:ascii="Times New Roman" w:hAnsi="Times New Roman"/>
          <w:sz w:val="26"/>
          <w:szCs w:val="26"/>
        </w:rPr>
        <w:t>тыс. рублей.</w:t>
      </w:r>
    </w:p>
    <w:p w:rsidR="003441B4" w:rsidRDefault="003441B4" w:rsidP="00602D3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3441B4" w:rsidRDefault="003441B4" w:rsidP="00602D3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3441B4" w:rsidRDefault="003441B4" w:rsidP="00602D3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66837" w:rsidRDefault="00F66837" w:rsidP="00602D3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Цацинского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441B4">
        <w:rPr>
          <w:rFonts w:ascii="Times New Roman" w:hAnsi="Times New Roman"/>
          <w:sz w:val="26"/>
          <w:szCs w:val="26"/>
        </w:rPr>
        <w:tab/>
      </w:r>
      <w:r w:rsidR="003441B4">
        <w:rPr>
          <w:rFonts w:ascii="Times New Roman" w:hAnsi="Times New Roman"/>
          <w:sz w:val="26"/>
          <w:szCs w:val="26"/>
        </w:rPr>
        <w:tab/>
      </w:r>
      <w:r w:rsidR="003441B4">
        <w:rPr>
          <w:rFonts w:ascii="Times New Roman" w:hAnsi="Times New Roman"/>
          <w:sz w:val="26"/>
          <w:szCs w:val="26"/>
        </w:rPr>
        <w:tab/>
      </w:r>
      <w:r w:rsidR="003441B4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>Н.Н. Попова</w:t>
      </w:r>
    </w:p>
    <w:sectPr w:rsidR="00F66837" w:rsidSect="004A071C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6B" w:rsidRDefault="0049606B" w:rsidP="000B4FB1">
      <w:r>
        <w:separator/>
      </w:r>
    </w:p>
  </w:endnote>
  <w:endnote w:type="continuationSeparator" w:id="0">
    <w:p w:rsidR="0049606B" w:rsidRDefault="0049606B" w:rsidP="000B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5797"/>
      <w:docPartObj>
        <w:docPartGallery w:val="Page Numbers (Bottom of Page)"/>
        <w:docPartUnique/>
      </w:docPartObj>
    </w:sdtPr>
    <w:sdtEndPr/>
    <w:sdtContent>
      <w:p w:rsidR="0049606B" w:rsidRDefault="0049606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D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606B" w:rsidRDefault="004960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6B" w:rsidRDefault="0049606B" w:rsidP="000B4FB1">
      <w:r>
        <w:separator/>
      </w:r>
    </w:p>
  </w:footnote>
  <w:footnote w:type="continuationSeparator" w:id="0">
    <w:p w:rsidR="0049606B" w:rsidRDefault="0049606B" w:rsidP="000B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319"/>
    <w:multiLevelType w:val="multilevel"/>
    <w:tmpl w:val="396067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38F2536"/>
    <w:multiLevelType w:val="multilevel"/>
    <w:tmpl w:val="8E5AB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D6353"/>
    <w:multiLevelType w:val="hybridMultilevel"/>
    <w:tmpl w:val="ED6E2D9E"/>
    <w:lvl w:ilvl="0" w:tplc="C1881F24">
      <w:start w:val="1"/>
      <w:numFmt w:val="bullet"/>
      <w:lvlText w:val="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76F3806"/>
    <w:multiLevelType w:val="hybridMultilevel"/>
    <w:tmpl w:val="0C64A372"/>
    <w:lvl w:ilvl="0" w:tplc="94808300">
      <w:start w:val="1"/>
      <w:numFmt w:val="bullet"/>
      <w:lvlText w:val=""/>
      <w:lvlJc w:val="left"/>
      <w:pPr>
        <w:tabs>
          <w:tab w:val="num" w:pos="1211"/>
        </w:tabs>
        <w:ind w:left="491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">
    <w:nsid w:val="481A3F60"/>
    <w:multiLevelType w:val="hybridMultilevel"/>
    <w:tmpl w:val="F50EA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EE"/>
    <w:rsid w:val="0000169D"/>
    <w:rsid w:val="00001A0E"/>
    <w:rsid w:val="000044D0"/>
    <w:rsid w:val="00004E37"/>
    <w:rsid w:val="000054CE"/>
    <w:rsid w:val="000067BF"/>
    <w:rsid w:val="00007911"/>
    <w:rsid w:val="00013646"/>
    <w:rsid w:val="00013E98"/>
    <w:rsid w:val="00015C2B"/>
    <w:rsid w:val="00016215"/>
    <w:rsid w:val="0002340A"/>
    <w:rsid w:val="000237C1"/>
    <w:rsid w:val="00024E4E"/>
    <w:rsid w:val="000251E4"/>
    <w:rsid w:val="00034C8F"/>
    <w:rsid w:val="000353CC"/>
    <w:rsid w:val="0003593C"/>
    <w:rsid w:val="000359D5"/>
    <w:rsid w:val="00035E66"/>
    <w:rsid w:val="000405E0"/>
    <w:rsid w:val="00043178"/>
    <w:rsid w:val="00044DB7"/>
    <w:rsid w:val="00050C4A"/>
    <w:rsid w:val="00051CF6"/>
    <w:rsid w:val="00052A96"/>
    <w:rsid w:val="00054B19"/>
    <w:rsid w:val="00057799"/>
    <w:rsid w:val="00057B26"/>
    <w:rsid w:val="000614EE"/>
    <w:rsid w:val="00062F3A"/>
    <w:rsid w:val="00063588"/>
    <w:rsid w:val="00064197"/>
    <w:rsid w:val="000645FC"/>
    <w:rsid w:val="00066234"/>
    <w:rsid w:val="0007207E"/>
    <w:rsid w:val="000726D7"/>
    <w:rsid w:val="00072C46"/>
    <w:rsid w:val="00072D12"/>
    <w:rsid w:val="000730E0"/>
    <w:rsid w:val="000755D0"/>
    <w:rsid w:val="00076100"/>
    <w:rsid w:val="00076BFF"/>
    <w:rsid w:val="00077C6C"/>
    <w:rsid w:val="000801B7"/>
    <w:rsid w:val="00083665"/>
    <w:rsid w:val="00084518"/>
    <w:rsid w:val="0008476D"/>
    <w:rsid w:val="000849B9"/>
    <w:rsid w:val="00085120"/>
    <w:rsid w:val="00087293"/>
    <w:rsid w:val="00090601"/>
    <w:rsid w:val="00090E0D"/>
    <w:rsid w:val="00091323"/>
    <w:rsid w:val="00091BE1"/>
    <w:rsid w:val="0009238E"/>
    <w:rsid w:val="00092AA9"/>
    <w:rsid w:val="0009495B"/>
    <w:rsid w:val="00095819"/>
    <w:rsid w:val="00097ABE"/>
    <w:rsid w:val="000A208E"/>
    <w:rsid w:val="000A391E"/>
    <w:rsid w:val="000A3A17"/>
    <w:rsid w:val="000B26A9"/>
    <w:rsid w:val="000B27D7"/>
    <w:rsid w:val="000B4FB1"/>
    <w:rsid w:val="000C2BA2"/>
    <w:rsid w:val="000C5322"/>
    <w:rsid w:val="000C5D7C"/>
    <w:rsid w:val="000C791B"/>
    <w:rsid w:val="000D0061"/>
    <w:rsid w:val="000D252D"/>
    <w:rsid w:val="000D4B11"/>
    <w:rsid w:val="000D59DF"/>
    <w:rsid w:val="000D7B86"/>
    <w:rsid w:val="000E0370"/>
    <w:rsid w:val="000E1FD5"/>
    <w:rsid w:val="000E2D04"/>
    <w:rsid w:val="000E4FF0"/>
    <w:rsid w:val="000E69A4"/>
    <w:rsid w:val="000E78D5"/>
    <w:rsid w:val="000F1E21"/>
    <w:rsid w:val="000F236F"/>
    <w:rsid w:val="000F25AF"/>
    <w:rsid w:val="000F5608"/>
    <w:rsid w:val="000F7A25"/>
    <w:rsid w:val="000F7BFE"/>
    <w:rsid w:val="00101F0C"/>
    <w:rsid w:val="00104E07"/>
    <w:rsid w:val="00110997"/>
    <w:rsid w:val="00111BB5"/>
    <w:rsid w:val="00112085"/>
    <w:rsid w:val="0011281A"/>
    <w:rsid w:val="00113751"/>
    <w:rsid w:val="00113C53"/>
    <w:rsid w:val="00117A73"/>
    <w:rsid w:val="001267EA"/>
    <w:rsid w:val="00133D70"/>
    <w:rsid w:val="00135C89"/>
    <w:rsid w:val="00140041"/>
    <w:rsid w:val="0015218A"/>
    <w:rsid w:val="0015307A"/>
    <w:rsid w:val="001541E5"/>
    <w:rsid w:val="00162398"/>
    <w:rsid w:val="00162643"/>
    <w:rsid w:val="001626B4"/>
    <w:rsid w:val="00162B5A"/>
    <w:rsid w:val="00165899"/>
    <w:rsid w:val="00166A77"/>
    <w:rsid w:val="001706C5"/>
    <w:rsid w:val="0017162A"/>
    <w:rsid w:val="00171CA3"/>
    <w:rsid w:val="001725F2"/>
    <w:rsid w:val="0017704D"/>
    <w:rsid w:val="001818C7"/>
    <w:rsid w:val="001830C6"/>
    <w:rsid w:val="0018528C"/>
    <w:rsid w:val="00187BCD"/>
    <w:rsid w:val="00190758"/>
    <w:rsid w:val="001917B5"/>
    <w:rsid w:val="00195441"/>
    <w:rsid w:val="00195B17"/>
    <w:rsid w:val="001A0792"/>
    <w:rsid w:val="001A0AF4"/>
    <w:rsid w:val="001A0AF5"/>
    <w:rsid w:val="001A1972"/>
    <w:rsid w:val="001A5A9F"/>
    <w:rsid w:val="001A6DE8"/>
    <w:rsid w:val="001B2FA6"/>
    <w:rsid w:val="001B381F"/>
    <w:rsid w:val="001B6144"/>
    <w:rsid w:val="001C282D"/>
    <w:rsid w:val="001C6F72"/>
    <w:rsid w:val="001D02B6"/>
    <w:rsid w:val="001D31FC"/>
    <w:rsid w:val="001D61A7"/>
    <w:rsid w:val="001D6C7E"/>
    <w:rsid w:val="001E0A2A"/>
    <w:rsid w:val="001E4333"/>
    <w:rsid w:val="001E47FA"/>
    <w:rsid w:val="001E604F"/>
    <w:rsid w:val="001E62FC"/>
    <w:rsid w:val="001F3D7B"/>
    <w:rsid w:val="001F716B"/>
    <w:rsid w:val="00202C38"/>
    <w:rsid w:val="0020328E"/>
    <w:rsid w:val="00204634"/>
    <w:rsid w:val="00205819"/>
    <w:rsid w:val="00214AD7"/>
    <w:rsid w:val="00216B92"/>
    <w:rsid w:val="00216EF1"/>
    <w:rsid w:val="0022027B"/>
    <w:rsid w:val="002208FE"/>
    <w:rsid w:val="00222A19"/>
    <w:rsid w:val="0022412A"/>
    <w:rsid w:val="00224938"/>
    <w:rsid w:val="00225FFB"/>
    <w:rsid w:val="00227353"/>
    <w:rsid w:val="00231025"/>
    <w:rsid w:val="00232BD6"/>
    <w:rsid w:val="00240338"/>
    <w:rsid w:val="0024231D"/>
    <w:rsid w:val="00242470"/>
    <w:rsid w:val="0025033E"/>
    <w:rsid w:val="002518CC"/>
    <w:rsid w:val="00252A55"/>
    <w:rsid w:val="002578B1"/>
    <w:rsid w:val="00257F34"/>
    <w:rsid w:val="0026344B"/>
    <w:rsid w:val="00267835"/>
    <w:rsid w:val="0027310C"/>
    <w:rsid w:val="00273D87"/>
    <w:rsid w:val="00274AEA"/>
    <w:rsid w:val="00274BDC"/>
    <w:rsid w:val="00274E3A"/>
    <w:rsid w:val="00276516"/>
    <w:rsid w:val="00281613"/>
    <w:rsid w:val="00281FDB"/>
    <w:rsid w:val="002844A0"/>
    <w:rsid w:val="0028528C"/>
    <w:rsid w:val="0028685A"/>
    <w:rsid w:val="002875DA"/>
    <w:rsid w:val="002879DF"/>
    <w:rsid w:val="00287FCF"/>
    <w:rsid w:val="002900FC"/>
    <w:rsid w:val="00293A33"/>
    <w:rsid w:val="002962B0"/>
    <w:rsid w:val="002971A8"/>
    <w:rsid w:val="002A08E0"/>
    <w:rsid w:val="002A0A6A"/>
    <w:rsid w:val="002A0AD2"/>
    <w:rsid w:val="002A4040"/>
    <w:rsid w:val="002A4232"/>
    <w:rsid w:val="002B1646"/>
    <w:rsid w:val="002B1B46"/>
    <w:rsid w:val="002B6508"/>
    <w:rsid w:val="002B7A06"/>
    <w:rsid w:val="002C369A"/>
    <w:rsid w:val="002C380A"/>
    <w:rsid w:val="002D156E"/>
    <w:rsid w:val="002D1845"/>
    <w:rsid w:val="002D1F77"/>
    <w:rsid w:val="002D79C7"/>
    <w:rsid w:val="002E1505"/>
    <w:rsid w:val="002E1C32"/>
    <w:rsid w:val="002F1461"/>
    <w:rsid w:val="002F3835"/>
    <w:rsid w:val="002F4321"/>
    <w:rsid w:val="002F5D12"/>
    <w:rsid w:val="00303C31"/>
    <w:rsid w:val="00306C90"/>
    <w:rsid w:val="00307740"/>
    <w:rsid w:val="003078C7"/>
    <w:rsid w:val="0032105E"/>
    <w:rsid w:val="00322602"/>
    <w:rsid w:val="00324816"/>
    <w:rsid w:val="003350BB"/>
    <w:rsid w:val="0034030E"/>
    <w:rsid w:val="00341242"/>
    <w:rsid w:val="00341D4B"/>
    <w:rsid w:val="00342715"/>
    <w:rsid w:val="003438D8"/>
    <w:rsid w:val="003441B4"/>
    <w:rsid w:val="003462D4"/>
    <w:rsid w:val="003507DB"/>
    <w:rsid w:val="00360309"/>
    <w:rsid w:val="003605C9"/>
    <w:rsid w:val="003610D3"/>
    <w:rsid w:val="00361AB4"/>
    <w:rsid w:val="00362CB8"/>
    <w:rsid w:val="003630F4"/>
    <w:rsid w:val="003636BC"/>
    <w:rsid w:val="00363D12"/>
    <w:rsid w:val="003653FE"/>
    <w:rsid w:val="00365AA7"/>
    <w:rsid w:val="00372EC6"/>
    <w:rsid w:val="00373C30"/>
    <w:rsid w:val="00376D7A"/>
    <w:rsid w:val="00382E72"/>
    <w:rsid w:val="0038573E"/>
    <w:rsid w:val="00385BF3"/>
    <w:rsid w:val="00386AB9"/>
    <w:rsid w:val="00387E2A"/>
    <w:rsid w:val="00390B14"/>
    <w:rsid w:val="0039793D"/>
    <w:rsid w:val="00397F1F"/>
    <w:rsid w:val="003A0C43"/>
    <w:rsid w:val="003A402C"/>
    <w:rsid w:val="003B4702"/>
    <w:rsid w:val="003B608A"/>
    <w:rsid w:val="003B63F9"/>
    <w:rsid w:val="003B7D0C"/>
    <w:rsid w:val="003C056F"/>
    <w:rsid w:val="003C7450"/>
    <w:rsid w:val="003D1A0A"/>
    <w:rsid w:val="003D22BF"/>
    <w:rsid w:val="003D456D"/>
    <w:rsid w:val="003E2E50"/>
    <w:rsid w:val="003E3C38"/>
    <w:rsid w:val="003F0AE7"/>
    <w:rsid w:val="003F1859"/>
    <w:rsid w:val="003F18A8"/>
    <w:rsid w:val="003F4E75"/>
    <w:rsid w:val="003F7F9B"/>
    <w:rsid w:val="004002D2"/>
    <w:rsid w:val="00401A0F"/>
    <w:rsid w:val="004027AB"/>
    <w:rsid w:val="0041092A"/>
    <w:rsid w:val="00412D07"/>
    <w:rsid w:val="0041433F"/>
    <w:rsid w:val="00414AAB"/>
    <w:rsid w:val="0042741C"/>
    <w:rsid w:val="00427B5B"/>
    <w:rsid w:val="004308BE"/>
    <w:rsid w:val="00430A16"/>
    <w:rsid w:val="0043185F"/>
    <w:rsid w:val="00433C04"/>
    <w:rsid w:val="004341F4"/>
    <w:rsid w:val="004348A3"/>
    <w:rsid w:val="00436D1B"/>
    <w:rsid w:val="00437E3C"/>
    <w:rsid w:val="004424EE"/>
    <w:rsid w:val="00446601"/>
    <w:rsid w:val="0045225B"/>
    <w:rsid w:val="004523F4"/>
    <w:rsid w:val="00463958"/>
    <w:rsid w:val="004653B1"/>
    <w:rsid w:val="0046761E"/>
    <w:rsid w:val="004676BD"/>
    <w:rsid w:val="00467D48"/>
    <w:rsid w:val="00471C02"/>
    <w:rsid w:val="004720E5"/>
    <w:rsid w:val="00472475"/>
    <w:rsid w:val="00473DC2"/>
    <w:rsid w:val="00477C03"/>
    <w:rsid w:val="00482279"/>
    <w:rsid w:val="0048316B"/>
    <w:rsid w:val="00486430"/>
    <w:rsid w:val="00487304"/>
    <w:rsid w:val="00487B2E"/>
    <w:rsid w:val="00490BBC"/>
    <w:rsid w:val="00494E81"/>
    <w:rsid w:val="0049606B"/>
    <w:rsid w:val="004A071C"/>
    <w:rsid w:val="004A371F"/>
    <w:rsid w:val="004A42CD"/>
    <w:rsid w:val="004A48E4"/>
    <w:rsid w:val="004A5AD2"/>
    <w:rsid w:val="004B13C5"/>
    <w:rsid w:val="004B1656"/>
    <w:rsid w:val="004B3EEE"/>
    <w:rsid w:val="004B5F4D"/>
    <w:rsid w:val="004B62B1"/>
    <w:rsid w:val="004C42CB"/>
    <w:rsid w:val="004C7741"/>
    <w:rsid w:val="004D30F4"/>
    <w:rsid w:val="004D3BF4"/>
    <w:rsid w:val="004D424B"/>
    <w:rsid w:val="004D7321"/>
    <w:rsid w:val="004E22D7"/>
    <w:rsid w:val="004E758B"/>
    <w:rsid w:val="004E788D"/>
    <w:rsid w:val="004F1B3B"/>
    <w:rsid w:val="004F4485"/>
    <w:rsid w:val="004F713A"/>
    <w:rsid w:val="00500655"/>
    <w:rsid w:val="0050110B"/>
    <w:rsid w:val="00501ADB"/>
    <w:rsid w:val="00501C7F"/>
    <w:rsid w:val="00501D63"/>
    <w:rsid w:val="00504A35"/>
    <w:rsid w:val="0050560A"/>
    <w:rsid w:val="00520674"/>
    <w:rsid w:val="00522544"/>
    <w:rsid w:val="005238CF"/>
    <w:rsid w:val="00524D61"/>
    <w:rsid w:val="00526CDE"/>
    <w:rsid w:val="0052793E"/>
    <w:rsid w:val="005303A7"/>
    <w:rsid w:val="005310A1"/>
    <w:rsid w:val="0053194C"/>
    <w:rsid w:val="00535070"/>
    <w:rsid w:val="00535268"/>
    <w:rsid w:val="00536BFC"/>
    <w:rsid w:val="0054023B"/>
    <w:rsid w:val="005432B9"/>
    <w:rsid w:val="005449D7"/>
    <w:rsid w:val="00547751"/>
    <w:rsid w:val="005479F5"/>
    <w:rsid w:val="0055142C"/>
    <w:rsid w:val="00551F42"/>
    <w:rsid w:val="00552708"/>
    <w:rsid w:val="005636FA"/>
    <w:rsid w:val="00564F86"/>
    <w:rsid w:val="005728A2"/>
    <w:rsid w:val="00572C4E"/>
    <w:rsid w:val="005733B6"/>
    <w:rsid w:val="00573D9C"/>
    <w:rsid w:val="00574003"/>
    <w:rsid w:val="0058031D"/>
    <w:rsid w:val="00582164"/>
    <w:rsid w:val="00584C3A"/>
    <w:rsid w:val="0058530A"/>
    <w:rsid w:val="0058544D"/>
    <w:rsid w:val="00597B9B"/>
    <w:rsid w:val="005A06F0"/>
    <w:rsid w:val="005A0736"/>
    <w:rsid w:val="005A4801"/>
    <w:rsid w:val="005A7328"/>
    <w:rsid w:val="005A7F31"/>
    <w:rsid w:val="005A7F61"/>
    <w:rsid w:val="005B345E"/>
    <w:rsid w:val="005B55C8"/>
    <w:rsid w:val="005B6E72"/>
    <w:rsid w:val="005B6F93"/>
    <w:rsid w:val="005C10D9"/>
    <w:rsid w:val="005C1A8F"/>
    <w:rsid w:val="005C2DC1"/>
    <w:rsid w:val="005D1287"/>
    <w:rsid w:val="005D7E17"/>
    <w:rsid w:val="005E0483"/>
    <w:rsid w:val="005E5813"/>
    <w:rsid w:val="005E7D62"/>
    <w:rsid w:val="005E7FB7"/>
    <w:rsid w:val="005F01CF"/>
    <w:rsid w:val="005F15B1"/>
    <w:rsid w:val="005F356F"/>
    <w:rsid w:val="005F46CF"/>
    <w:rsid w:val="005F484D"/>
    <w:rsid w:val="005F589E"/>
    <w:rsid w:val="005F6756"/>
    <w:rsid w:val="0060037B"/>
    <w:rsid w:val="00602D3A"/>
    <w:rsid w:val="0061043B"/>
    <w:rsid w:val="00616DD8"/>
    <w:rsid w:val="00620E2C"/>
    <w:rsid w:val="00621164"/>
    <w:rsid w:val="00623591"/>
    <w:rsid w:val="00623863"/>
    <w:rsid w:val="00623CA3"/>
    <w:rsid w:val="00624398"/>
    <w:rsid w:val="00626227"/>
    <w:rsid w:val="00634ECE"/>
    <w:rsid w:val="00635EE0"/>
    <w:rsid w:val="00636B62"/>
    <w:rsid w:val="0064154A"/>
    <w:rsid w:val="00642503"/>
    <w:rsid w:val="006444F1"/>
    <w:rsid w:val="006461A4"/>
    <w:rsid w:val="00650A14"/>
    <w:rsid w:val="00650B9B"/>
    <w:rsid w:val="00650F25"/>
    <w:rsid w:val="00651695"/>
    <w:rsid w:val="006522C0"/>
    <w:rsid w:val="0065325B"/>
    <w:rsid w:val="00655A88"/>
    <w:rsid w:val="00662ACF"/>
    <w:rsid w:val="00666CBC"/>
    <w:rsid w:val="00666D2E"/>
    <w:rsid w:val="00666DBD"/>
    <w:rsid w:val="00666DDB"/>
    <w:rsid w:val="00666FE7"/>
    <w:rsid w:val="00671664"/>
    <w:rsid w:val="00673286"/>
    <w:rsid w:val="006734A3"/>
    <w:rsid w:val="00674AD9"/>
    <w:rsid w:val="006816DC"/>
    <w:rsid w:val="006910CE"/>
    <w:rsid w:val="006918FF"/>
    <w:rsid w:val="00692124"/>
    <w:rsid w:val="00692FB2"/>
    <w:rsid w:val="00696CEE"/>
    <w:rsid w:val="006A0459"/>
    <w:rsid w:val="006A281D"/>
    <w:rsid w:val="006A60D5"/>
    <w:rsid w:val="006B7797"/>
    <w:rsid w:val="006C0C97"/>
    <w:rsid w:val="006C0F3B"/>
    <w:rsid w:val="006C20EB"/>
    <w:rsid w:val="006D1256"/>
    <w:rsid w:val="006D3126"/>
    <w:rsid w:val="006D32AF"/>
    <w:rsid w:val="006D56D6"/>
    <w:rsid w:val="006E32DD"/>
    <w:rsid w:val="006E56CC"/>
    <w:rsid w:val="006E5960"/>
    <w:rsid w:val="006E6ABE"/>
    <w:rsid w:val="006F0BDC"/>
    <w:rsid w:val="006F0E2C"/>
    <w:rsid w:val="006F3F6A"/>
    <w:rsid w:val="006F5ACB"/>
    <w:rsid w:val="006F5B85"/>
    <w:rsid w:val="0070009A"/>
    <w:rsid w:val="007045D7"/>
    <w:rsid w:val="00704900"/>
    <w:rsid w:val="007050D6"/>
    <w:rsid w:val="00706871"/>
    <w:rsid w:val="00707CDF"/>
    <w:rsid w:val="00710436"/>
    <w:rsid w:val="00710E3F"/>
    <w:rsid w:val="00715738"/>
    <w:rsid w:val="00720B1A"/>
    <w:rsid w:val="00724581"/>
    <w:rsid w:val="00725DA8"/>
    <w:rsid w:val="00730918"/>
    <w:rsid w:val="00731672"/>
    <w:rsid w:val="00733DCD"/>
    <w:rsid w:val="00741257"/>
    <w:rsid w:val="00753661"/>
    <w:rsid w:val="0075553B"/>
    <w:rsid w:val="0075555A"/>
    <w:rsid w:val="007567BF"/>
    <w:rsid w:val="00762EE8"/>
    <w:rsid w:val="00763657"/>
    <w:rsid w:val="0076370D"/>
    <w:rsid w:val="00773E49"/>
    <w:rsid w:val="00774997"/>
    <w:rsid w:val="00780FD8"/>
    <w:rsid w:val="00781FBD"/>
    <w:rsid w:val="007837CA"/>
    <w:rsid w:val="00784B04"/>
    <w:rsid w:val="007873A1"/>
    <w:rsid w:val="00795708"/>
    <w:rsid w:val="007A54F6"/>
    <w:rsid w:val="007A7963"/>
    <w:rsid w:val="007B0A18"/>
    <w:rsid w:val="007B19D1"/>
    <w:rsid w:val="007B23F6"/>
    <w:rsid w:val="007B56D9"/>
    <w:rsid w:val="007B5B91"/>
    <w:rsid w:val="007B5DB0"/>
    <w:rsid w:val="007B7FC2"/>
    <w:rsid w:val="007C08A1"/>
    <w:rsid w:val="007C0941"/>
    <w:rsid w:val="007C378D"/>
    <w:rsid w:val="007C38E7"/>
    <w:rsid w:val="007C4DBA"/>
    <w:rsid w:val="007D2804"/>
    <w:rsid w:val="007E043D"/>
    <w:rsid w:val="007E0C30"/>
    <w:rsid w:val="007F0547"/>
    <w:rsid w:val="007F2B37"/>
    <w:rsid w:val="007F2B6D"/>
    <w:rsid w:val="007F67F2"/>
    <w:rsid w:val="007F71BD"/>
    <w:rsid w:val="008050B7"/>
    <w:rsid w:val="00806EA8"/>
    <w:rsid w:val="00807507"/>
    <w:rsid w:val="00810AC8"/>
    <w:rsid w:val="00820FB5"/>
    <w:rsid w:val="008218A9"/>
    <w:rsid w:val="00823D1D"/>
    <w:rsid w:val="008242A9"/>
    <w:rsid w:val="008245F3"/>
    <w:rsid w:val="00825F60"/>
    <w:rsid w:val="00826519"/>
    <w:rsid w:val="0082686D"/>
    <w:rsid w:val="0082775C"/>
    <w:rsid w:val="0083152F"/>
    <w:rsid w:val="00832EA7"/>
    <w:rsid w:val="00836DAA"/>
    <w:rsid w:val="00840A9B"/>
    <w:rsid w:val="00840B53"/>
    <w:rsid w:val="008437E4"/>
    <w:rsid w:val="008452C6"/>
    <w:rsid w:val="00845BDE"/>
    <w:rsid w:val="00847078"/>
    <w:rsid w:val="00851F99"/>
    <w:rsid w:val="008527E7"/>
    <w:rsid w:val="00854318"/>
    <w:rsid w:val="00854969"/>
    <w:rsid w:val="00864CE3"/>
    <w:rsid w:val="00864D76"/>
    <w:rsid w:val="008664EB"/>
    <w:rsid w:val="0086784A"/>
    <w:rsid w:val="008679D9"/>
    <w:rsid w:val="00872E86"/>
    <w:rsid w:val="00874FED"/>
    <w:rsid w:val="00875859"/>
    <w:rsid w:val="00877525"/>
    <w:rsid w:val="00882F80"/>
    <w:rsid w:val="008847AD"/>
    <w:rsid w:val="00886036"/>
    <w:rsid w:val="0089049C"/>
    <w:rsid w:val="00894101"/>
    <w:rsid w:val="00894CE3"/>
    <w:rsid w:val="00896AC5"/>
    <w:rsid w:val="00897F8B"/>
    <w:rsid w:val="008A0AC9"/>
    <w:rsid w:val="008A435F"/>
    <w:rsid w:val="008A5DF4"/>
    <w:rsid w:val="008B0DB0"/>
    <w:rsid w:val="008B1BFA"/>
    <w:rsid w:val="008B334E"/>
    <w:rsid w:val="008B4C10"/>
    <w:rsid w:val="008B5C8A"/>
    <w:rsid w:val="008B7674"/>
    <w:rsid w:val="008C40D0"/>
    <w:rsid w:val="008C66B4"/>
    <w:rsid w:val="008D1072"/>
    <w:rsid w:val="008D12B1"/>
    <w:rsid w:val="008D155C"/>
    <w:rsid w:val="008D2BBC"/>
    <w:rsid w:val="008D4CA2"/>
    <w:rsid w:val="008E1935"/>
    <w:rsid w:val="008E28F6"/>
    <w:rsid w:val="008E2C79"/>
    <w:rsid w:val="008E575F"/>
    <w:rsid w:val="008E62E9"/>
    <w:rsid w:val="008E7706"/>
    <w:rsid w:val="008F2FBA"/>
    <w:rsid w:val="008F4889"/>
    <w:rsid w:val="008F49EF"/>
    <w:rsid w:val="008F5C90"/>
    <w:rsid w:val="008F5D51"/>
    <w:rsid w:val="009039AD"/>
    <w:rsid w:val="009065A7"/>
    <w:rsid w:val="00910319"/>
    <w:rsid w:val="0091363B"/>
    <w:rsid w:val="00914111"/>
    <w:rsid w:val="00916D7E"/>
    <w:rsid w:val="00924BFE"/>
    <w:rsid w:val="00924DB0"/>
    <w:rsid w:val="00926B58"/>
    <w:rsid w:val="009277AD"/>
    <w:rsid w:val="00931347"/>
    <w:rsid w:val="0093209B"/>
    <w:rsid w:val="0093349D"/>
    <w:rsid w:val="009336BF"/>
    <w:rsid w:val="00933A93"/>
    <w:rsid w:val="00943453"/>
    <w:rsid w:val="00946DBC"/>
    <w:rsid w:val="00947E4B"/>
    <w:rsid w:val="009500C8"/>
    <w:rsid w:val="00950D9B"/>
    <w:rsid w:val="00952EFC"/>
    <w:rsid w:val="00953FA9"/>
    <w:rsid w:val="009541DD"/>
    <w:rsid w:val="00956AB3"/>
    <w:rsid w:val="00964F35"/>
    <w:rsid w:val="00965C2E"/>
    <w:rsid w:val="00970BE6"/>
    <w:rsid w:val="00971F43"/>
    <w:rsid w:val="009724C4"/>
    <w:rsid w:val="00973632"/>
    <w:rsid w:val="00973DCA"/>
    <w:rsid w:val="009755FD"/>
    <w:rsid w:val="00975EC6"/>
    <w:rsid w:val="00976AF3"/>
    <w:rsid w:val="00981AD7"/>
    <w:rsid w:val="009834F7"/>
    <w:rsid w:val="00984F86"/>
    <w:rsid w:val="0099071A"/>
    <w:rsid w:val="00991B75"/>
    <w:rsid w:val="009922C2"/>
    <w:rsid w:val="00992EA0"/>
    <w:rsid w:val="009A13FC"/>
    <w:rsid w:val="009A1B0F"/>
    <w:rsid w:val="009B1D4D"/>
    <w:rsid w:val="009B6704"/>
    <w:rsid w:val="009B7F29"/>
    <w:rsid w:val="009C10AB"/>
    <w:rsid w:val="009C21D9"/>
    <w:rsid w:val="009C31DB"/>
    <w:rsid w:val="009C4E74"/>
    <w:rsid w:val="009C7150"/>
    <w:rsid w:val="009E13E9"/>
    <w:rsid w:val="009E1963"/>
    <w:rsid w:val="009E41A8"/>
    <w:rsid w:val="009E6AFF"/>
    <w:rsid w:val="009E7601"/>
    <w:rsid w:val="009F3FF7"/>
    <w:rsid w:val="009F51AF"/>
    <w:rsid w:val="009F561D"/>
    <w:rsid w:val="009F5A2D"/>
    <w:rsid w:val="009F5A71"/>
    <w:rsid w:val="00A0022A"/>
    <w:rsid w:val="00A01914"/>
    <w:rsid w:val="00A03531"/>
    <w:rsid w:val="00A1018E"/>
    <w:rsid w:val="00A14947"/>
    <w:rsid w:val="00A2012B"/>
    <w:rsid w:val="00A223DE"/>
    <w:rsid w:val="00A22B2E"/>
    <w:rsid w:val="00A315F6"/>
    <w:rsid w:val="00A322F4"/>
    <w:rsid w:val="00A32EB4"/>
    <w:rsid w:val="00A35CAD"/>
    <w:rsid w:val="00A35CE2"/>
    <w:rsid w:val="00A35D80"/>
    <w:rsid w:val="00A376E6"/>
    <w:rsid w:val="00A37D12"/>
    <w:rsid w:val="00A403FE"/>
    <w:rsid w:val="00A409CA"/>
    <w:rsid w:val="00A468DB"/>
    <w:rsid w:val="00A46F96"/>
    <w:rsid w:val="00A46FDA"/>
    <w:rsid w:val="00A54E42"/>
    <w:rsid w:val="00A56B6D"/>
    <w:rsid w:val="00A60829"/>
    <w:rsid w:val="00A612E4"/>
    <w:rsid w:val="00A62009"/>
    <w:rsid w:val="00A64391"/>
    <w:rsid w:val="00A645EB"/>
    <w:rsid w:val="00A668AD"/>
    <w:rsid w:val="00A738E3"/>
    <w:rsid w:val="00A744C7"/>
    <w:rsid w:val="00A75080"/>
    <w:rsid w:val="00A77891"/>
    <w:rsid w:val="00A81832"/>
    <w:rsid w:val="00A83962"/>
    <w:rsid w:val="00A868C6"/>
    <w:rsid w:val="00A9122D"/>
    <w:rsid w:val="00A9473C"/>
    <w:rsid w:val="00A9513C"/>
    <w:rsid w:val="00A975D8"/>
    <w:rsid w:val="00AA2DD1"/>
    <w:rsid w:val="00AA3280"/>
    <w:rsid w:val="00AA3FD0"/>
    <w:rsid w:val="00AA5089"/>
    <w:rsid w:val="00AB0883"/>
    <w:rsid w:val="00AB3B09"/>
    <w:rsid w:val="00AB60E0"/>
    <w:rsid w:val="00AB6863"/>
    <w:rsid w:val="00AC5A5A"/>
    <w:rsid w:val="00AC60C5"/>
    <w:rsid w:val="00AC75A8"/>
    <w:rsid w:val="00AD183D"/>
    <w:rsid w:val="00AD249D"/>
    <w:rsid w:val="00AD61CF"/>
    <w:rsid w:val="00AE0935"/>
    <w:rsid w:val="00AE21B8"/>
    <w:rsid w:val="00AE6AAA"/>
    <w:rsid w:val="00AF15AF"/>
    <w:rsid w:val="00AF4E7B"/>
    <w:rsid w:val="00AF5E18"/>
    <w:rsid w:val="00AF7EE1"/>
    <w:rsid w:val="00B0309B"/>
    <w:rsid w:val="00B03F8E"/>
    <w:rsid w:val="00B04F71"/>
    <w:rsid w:val="00B0778E"/>
    <w:rsid w:val="00B0794C"/>
    <w:rsid w:val="00B201B1"/>
    <w:rsid w:val="00B235D2"/>
    <w:rsid w:val="00B24502"/>
    <w:rsid w:val="00B320AC"/>
    <w:rsid w:val="00B357A2"/>
    <w:rsid w:val="00B365B2"/>
    <w:rsid w:val="00B370E2"/>
    <w:rsid w:val="00B373A3"/>
    <w:rsid w:val="00B405E0"/>
    <w:rsid w:val="00B40C1E"/>
    <w:rsid w:val="00B414EA"/>
    <w:rsid w:val="00B435A9"/>
    <w:rsid w:val="00B51B78"/>
    <w:rsid w:val="00B51EC5"/>
    <w:rsid w:val="00B52427"/>
    <w:rsid w:val="00B53E99"/>
    <w:rsid w:val="00B55090"/>
    <w:rsid w:val="00B60105"/>
    <w:rsid w:val="00B63A20"/>
    <w:rsid w:val="00B7065E"/>
    <w:rsid w:val="00B72818"/>
    <w:rsid w:val="00B762C6"/>
    <w:rsid w:val="00B77B6A"/>
    <w:rsid w:val="00B80D23"/>
    <w:rsid w:val="00B815C3"/>
    <w:rsid w:val="00B839B0"/>
    <w:rsid w:val="00B84505"/>
    <w:rsid w:val="00B84972"/>
    <w:rsid w:val="00B854BE"/>
    <w:rsid w:val="00B90C63"/>
    <w:rsid w:val="00B92928"/>
    <w:rsid w:val="00B932A3"/>
    <w:rsid w:val="00BA3332"/>
    <w:rsid w:val="00BA3B8E"/>
    <w:rsid w:val="00BA448B"/>
    <w:rsid w:val="00BA4DC0"/>
    <w:rsid w:val="00BA5C6C"/>
    <w:rsid w:val="00BA6748"/>
    <w:rsid w:val="00BA7181"/>
    <w:rsid w:val="00BA7589"/>
    <w:rsid w:val="00BA77D8"/>
    <w:rsid w:val="00BB07D6"/>
    <w:rsid w:val="00BB2EED"/>
    <w:rsid w:val="00BB2F04"/>
    <w:rsid w:val="00BB48CC"/>
    <w:rsid w:val="00BB4DF6"/>
    <w:rsid w:val="00BB561F"/>
    <w:rsid w:val="00BB63D8"/>
    <w:rsid w:val="00BD2824"/>
    <w:rsid w:val="00BD29B3"/>
    <w:rsid w:val="00BD2CDC"/>
    <w:rsid w:val="00BD5626"/>
    <w:rsid w:val="00BD61FA"/>
    <w:rsid w:val="00BD6951"/>
    <w:rsid w:val="00BD6D4D"/>
    <w:rsid w:val="00BE0CD1"/>
    <w:rsid w:val="00BE2672"/>
    <w:rsid w:val="00BE30B7"/>
    <w:rsid w:val="00BE344C"/>
    <w:rsid w:val="00BE5AA3"/>
    <w:rsid w:val="00BF11C1"/>
    <w:rsid w:val="00BF2A1A"/>
    <w:rsid w:val="00BF7CF2"/>
    <w:rsid w:val="00C0653A"/>
    <w:rsid w:val="00C129FA"/>
    <w:rsid w:val="00C17C14"/>
    <w:rsid w:val="00C20D16"/>
    <w:rsid w:val="00C21290"/>
    <w:rsid w:val="00C213CA"/>
    <w:rsid w:val="00C23DEC"/>
    <w:rsid w:val="00C24DEF"/>
    <w:rsid w:val="00C270F8"/>
    <w:rsid w:val="00C336F5"/>
    <w:rsid w:val="00C36F98"/>
    <w:rsid w:val="00C548DF"/>
    <w:rsid w:val="00C563D9"/>
    <w:rsid w:val="00C56EE8"/>
    <w:rsid w:val="00C71506"/>
    <w:rsid w:val="00C73566"/>
    <w:rsid w:val="00C736F4"/>
    <w:rsid w:val="00C74311"/>
    <w:rsid w:val="00C74D37"/>
    <w:rsid w:val="00C76E25"/>
    <w:rsid w:val="00C80AAC"/>
    <w:rsid w:val="00C814E5"/>
    <w:rsid w:val="00C81E20"/>
    <w:rsid w:val="00C84C44"/>
    <w:rsid w:val="00C861EA"/>
    <w:rsid w:val="00C92A74"/>
    <w:rsid w:val="00C94500"/>
    <w:rsid w:val="00C94BA5"/>
    <w:rsid w:val="00CA033A"/>
    <w:rsid w:val="00CA5183"/>
    <w:rsid w:val="00CA6409"/>
    <w:rsid w:val="00CA75A5"/>
    <w:rsid w:val="00CB32A1"/>
    <w:rsid w:val="00CC071E"/>
    <w:rsid w:val="00CC3F2C"/>
    <w:rsid w:val="00CC4CDF"/>
    <w:rsid w:val="00CC6B63"/>
    <w:rsid w:val="00CC7C64"/>
    <w:rsid w:val="00CD27DC"/>
    <w:rsid w:val="00CE1D4B"/>
    <w:rsid w:val="00CE31D8"/>
    <w:rsid w:val="00CE3DB7"/>
    <w:rsid w:val="00CE4F97"/>
    <w:rsid w:val="00CE6312"/>
    <w:rsid w:val="00CF2A99"/>
    <w:rsid w:val="00CF2AA8"/>
    <w:rsid w:val="00CF307A"/>
    <w:rsid w:val="00CF57A1"/>
    <w:rsid w:val="00CF6F31"/>
    <w:rsid w:val="00D0082A"/>
    <w:rsid w:val="00D10B00"/>
    <w:rsid w:val="00D10BA6"/>
    <w:rsid w:val="00D139AA"/>
    <w:rsid w:val="00D13A8D"/>
    <w:rsid w:val="00D14C76"/>
    <w:rsid w:val="00D17DEC"/>
    <w:rsid w:val="00D3124E"/>
    <w:rsid w:val="00D348B8"/>
    <w:rsid w:val="00D367A9"/>
    <w:rsid w:val="00D37DE2"/>
    <w:rsid w:val="00D42BB4"/>
    <w:rsid w:val="00D443E6"/>
    <w:rsid w:val="00D44517"/>
    <w:rsid w:val="00D4467A"/>
    <w:rsid w:val="00D45010"/>
    <w:rsid w:val="00D45852"/>
    <w:rsid w:val="00D47264"/>
    <w:rsid w:val="00D51960"/>
    <w:rsid w:val="00D5307E"/>
    <w:rsid w:val="00D530FC"/>
    <w:rsid w:val="00D54A2F"/>
    <w:rsid w:val="00D550A5"/>
    <w:rsid w:val="00D71D9D"/>
    <w:rsid w:val="00D73F7C"/>
    <w:rsid w:val="00D748A1"/>
    <w:rsid w:val="00D74A3B"/>
    <w:rsid w:val="00D81001"/>
    <w:rsid w:val="00D84525"/>
    <w:rsid w:val="00D845C5"/>
    <w:rsid w:val="00D85063"/>
    <w:rsid w:val="00D874C2"/>
    <w:rsid w:val="00D90FD4"/>
    <w:rsid w:val="00D9428C"/>
    <w:rsid w:val="00D96666"/>
    <w:rsid w:val="00DA333F"/>
    <w:rsid w:val="00DA3B71"/>
    <w:rsid w:val="00DA5E35"/>
    <w:rsid w:val="00DA6879"/>
    <w:rsid w:val="00DB055B"/>
    <w:rsid w:val="00DB0995"/>
    <w:rsid w:val="00DB24C3"/>
    <w:rsid w:val="00DB28BE"/>
    <w:rsid w:val="00DB3129"/>
    <w:rsid w:val="00DB4BBA"/>
    <w:rsid w:val="00DB55CC"/>
    <w:rsid w:val="00DB5946"/>
    <w:rsid w:val="00DB6E68"/>
    <w:rsid w:val="00DB7D64"/>
    <w:rsid w:val="00DC1DB2"/>
    <w:rsid w:val="00DC1E63"/>
    <w:rsid w:val="00DC3E2E"/>
    <w:rsid w:val="00DC4296"/>
    <w:rsid w:val="00DC583A"/>
    <w:rsid w:val="00DD25CB"/>
    <w:rsid w:val="00DD37C0"/>
    <w:rsid w:val="00DD400A"/>
    <w:rsid w:val="00DD59C5"/>
    <w:rsid w:val="00DD65F4"/>
    <w:rsid w:val="00DD76F7"/>
    <w:rsid w:val="00DD7C33"/>
    <w:rsid w:val="00DE13F8"/>
    <w:rsid w:val="00DE2F14"/>
    <w:rsid w:val="00DE37ED"/>
    <w:rsid w:val="00DE3D3A"/>
    <w:rsid w:val="00DE454A"/>
    <w:rsid w:val="00DE4F05"/>
    <w:rsid w:val="00DE5A2C"/>
    <w:rsid w:val="00DE5E6C"/>
    <w:rsid w:val="00DE7837"/>
    <w:rsid w:val="00DE7E6D"/>
    <w:rsid w:val="00DF411A"/>
    <w:rsid w:val="00DF51B0"/>
    <w:rsid w:val="00DF63E6"/>
    <w:rsid w:val="00E00C80"/>
    <w:rsid w:val="00E0331F"/>
    <w:rsid w:val="00E04F4F"/>
    <w:rsid w:val="00E06E19"/>
    <w:rsid w:val="00E071B2"/>
    <w:rsid w:val="00E11068"/>
    <w:rsid w:val="00E11367"/>
    <w:rsid w:val="00E12C9C"/>
    <w:rsid w:val="00E24E66"/>
    <w:rsid w:val="00E2638C"/>
    <w:rsid w:val="00E27402"/>
    <w:rsid w:val="00E2794D"/>
    <w:rsid w:val="00E34486"/>
    <w:rsid w:val="00E41C18"/>
    <w:rsid w:val="00E42178"/>
    <w:rsid w:val="00E42AAA"/>
    <w:rsid w:val="00E44357"/>
    <w:rsid w:val="00E50DFD"/>
    <w:rsid w:val="00E50FEB"/>
    <w:rsid w:val="00E549B6"/>
    <w:rsid w:val="00E55C76"/>
    <w:rsid w:val="00E5671D"/>
    <w:rsid w:val="00E57048"/>
    <w:rsid w:val="00E62914"/>
    <w:rsid w:val="00E6338E"/>
    <w:rsid w:val="00E6361C"/>
    <w:rsid w:val="00E64C6E"/>
    <w:rsid w:val="00E7024E"/>
    <w:rsid w:val="00E73CBD"/>
    <w:rsid w:val="00E758AA"/>
    <w:rsid w:val="00E81B46"/>
    <w:rsid w:val="00E8348C"/>
    <w:rsid w:val="00E85FB7"/>
    <w:rsid w:val="00E87C79"/>
    <w:rsid w:val="00E924F4"/>
    <w:rsid w:val="00E973FC"/>
    <w:rsid w:val="00E97541"/>
    <w:rsid w:val="00E97672"/>
    <w:rsid w:val="00EA010F"/>
    <w:rsid w:val="00EA20AD"/>
    <w:rsid w:val="00EA24ED"/>
    <w:rsid w:val="00EA3F60"/>
    <w:rsid w:val="00EA4575"/>
    <w:rsid w:val="00EB1BCD"/>
    <w:rsid w:val="00EB24BE"/>
    <w:rsid w:val="00EB320E"/>
    <w:rsid w:val="00EB559E"/>
    <w:rsid w:val="00EB568F"/>
    <w:rsid w:val="00EB6C38"/>
    <w:rsid w:val="00EB7D45"/>
    <w:rsid w:val="00EC277F"/>
    <w:rsid w:val="00EC345C"/>
    <w:rsid w:val="00EC5C51"/>
    <w:rsid w:val="00ED20A3"/>
    <w:rsid w:val="00EE2BA9"/>
    <w:rsid w:val="00EE3C70"/>
    <w:rsid w:val="00EF1FE8"/>
    <w:rsid w:val="00EF35A8"/>
    <w:rsid w:val="00F00FB0"/>
    <w:rsid w:val="00F01F53"/>
    <w:rsid w:val="00F03E1B"/>
    <w:rsid w:val="00F12B6E"/>
    <w:rsid w:val="00F165B8"/>
    <w:rsid w:val="00F215B8"/>
    <w:rsid w:val="00F229AF"/>
    <w:rsid w:val="00F2319A"/>
    <w:rsid w:val="00F2365C"/>
    <w:rsid w:val="00F245E6"/>
    <w:rsid w:val="00F27085"/>
    <w:rsid w:val="00F27477"/>
    <w:rsid w:val="00F33A46"/>
    <w:rsid w:val="00F352D5"/>
    <w:rsid w:val="00F37F9F"/>
    <w:rsid w:val="00F405DF"/>
    <w:rsid w:val="00F40FC4"/>
    <w:rsid w:val="00F41592"/>
    <w:rsid w:val="00F42912"/>
    <w:rsid w:val="00F43A2E"/>
    <w:rsid w:val="00F43C31"/>
    <w:rsid w:val="00F44E48"/>
    <w:rsid w:val="00F47CB2"/>
    <w:rsid w:val="00F54891"/>
    <w:rsid w:val="00F611C0"/>
    <w:rsid w:val="00F61BAF"/>
    <w:rsid w:val="00F66837"/>
    <w:rsid w:val="00F715EE"/>
    <w:rsid w:val="00F71D95"/>
    <w:rsid w:val="00F75B5E"/>
    <w:rsid w:val="00F80FB4"/>
    <w:rsid w:val="00F81FAE"/>
    <w:rsid w:val="00F85EA5"/>
    <w:rsid w:val="00F91C9B"/>
    <w:rsid w:val="00F97B7D"/>
    <w:rsid w:val="00FA12A2"/>
    <w:rsid w:val="00FA3877"/>
    <w:rsid w:val="00FB5CD3"/>
    <w:rsid w:val="00FB5DED"/>
    <w:rsid w:val="00FB6088"/>
    <w:rsid w:val="00FB6F31"/>
    <w:rsid w:val="00FC0E87"/>
    <w:rsid w:val="00FC5293"/>
    <w:rsid w:val="00FD0235"/>
    <w:rsid w:val="00FD0E56"/>
    <w:rsid w:val="00FD1884"/>
    <w:rsid w:val="00FD3613"/>
    <w:rsid w:val="00FE794D"/>
    <w:rsid w:val="00FF593D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3D8"/>
  </w:style>
  <w:style w:type="paragraph" w:styleId="2">
    <w:name w:val="heading 2"/>
    <w:basedOn w:val="a"/>
    <w:next w:val="a"/>
    <w:link w:val="20"/>
    <w:qFormat/>
    <w:rsid w:val="004424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4EE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4424EE"/>
    <w:pPr>
      <w:ind w:firstLine="567"/>
      <w:jc w:val="center"/>
    </w:pPr>
    <w:rPr>
      <w:sz w:val="28"/>
    </w:rPr>
  </w:style>
  <w:style w:type="paragraph" w:styleId="a4">
    <w:name w:val="header"/>
    <w:basedOn w:val="a"/>
    <w:rsid w:val="00DE3D3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7C0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3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33D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26A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93A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0B4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4FB1"/>
  </w:style>
  <w:style w:type="character" w:customStyle="1" w:styleId="20">
    <w:name w:val="Заголовок 2 Знак"/>
    <w:link w:val="2"/>
    <w:rsid w:val="00CC6B63"/>
    <w:rPr>
      <w:sz w:val="28"/>
    </w:rPr>
  </w:style>
  <w:style w:type="table" w:styleId="ab">
    <w:name w:val="Table Grid"/>
    <w:basedOn w:val="a1"/>
    <w:rsid w:val="00CC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56D6"/>
    <w:pPr>
      <w:spacing w:after="120"/>
    </w:pPr>
  </w:style>
  <w:style w:type="character" w:customStyle="1" w:styleId="ad">
    <w:name w:val="Основной текст Знак"/>
    <w:basedOn w:val="a0"/>
    <w:link w:val="ac"/>
    <w:rsid w:val="006D56D6"/>
  </w:style>
  <w:style w:type="character" w:customStyle="1" w:styleId="ae">
    <w:name w:val="Основной текст_"/>
    <w:basedOn w:val="a0"/>
    <w:link w:val="1"/>
    <w:rsid w:val="002D79C7"/>
    <w:rPr>
      <w:sz w:val="24"/>
      <w:szCs w:val="24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e"/>
    <w:rsid w:val="002D79C7"/>
    <w:rPr>
      <w:b/>
      <w:bCs/>
      <w:spacing w:val="10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2D79C7"/>
    <w:rPr>
      <w:b/>
      <w:bCs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2D79C7"/>
    <w:pPr>
      <w:shd w:val="clear" w:color="auto" w:fill="FFFFFF"/>
      <w:spacing w:line="298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C74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B63"/>
  </w:style>
  <w:style w:type="paragraph" w:styleId="2">
    <w:name w:val="heading 2"/>
    <w:basedOn w:val="a"/>
    <w:next w:val="a"/>
    <w:link w:val="20"/>
    <w:qFormat/>
    <w:rsid w:val="004424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4EE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4424EE"/>
    <w:pPr>
      <w:ind w:firstLine="567"/>
      <w:jc w:val="center"/>
    </w:pPr>
    <w:rPr>
      <w:sz w:val="28"/>
    </w:rPr>
  </w:style>
  <w:style w:type="paragraph" w:styleId="a4">
    <w:name w:val="header"/>
    <w:basedOn w:val="a"/>
    <w:rsid w:val="00DE3D3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7C0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3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33D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26A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93A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0B4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B4FB1"/>
  </w:style>
  <w:style w:type="character" w:customStyle="1" w:styleId="20">
    <w:name w:val="Заголовок 2 Знак"/>
    <w:link w:val="2"/>
    <w:rsid w:val="00CC6B63"/>
    <w:rPr>
      <w:sz w:val="28"/>
    </w:rPr>
  </w:style>
  <w:style w:type="table" w:styleId="ab">
    <w:name w:val="Table Grid"/>
    <w:basedOn w:val="a1"/>
    <w:rsid w:val="00CC6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56D6"/>
    <w:pPr>
      <w:spacing w:after="120"/>
    </w:pPr>
  </w:style>
  <w:style w:type="character" w:customStyle="1" w:styleId="ad">
    <w:name w:val="Основной текст Знак"/>
    <w:basedOn w:val="a0"/>
    <w:link w:val="ac"/>
    <w:rsid w:val="006D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1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0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51076266328778"/>
          <c:y val="0.28076194016785511"/>
          <c:w val="0.71680110568075539"/>
          <c:h val="0.66343607954852468"/>
        </c:manualLayout>
      </c:layout>
      <c:pie3DChart>
        <c:varyColors val="1"/>
        <c:ser>
          <c:idx val="1"/>
          <c:order val="0"/>
          <c:explosion val="25"/>
          <c:dLbls>
            <c:dLbl>
              <c:idx val="0"/>
              <c:layout>
                <c:manualLayout>
                  <c:x val="3.7743745315187781E-2"/>
                  <c:y val="-0.203703322207747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3900843213563817E-2"/>
                  <c:y val="-0.175472776942462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601393037077261"/>
                  <c:y val="-4.78881945960432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6578119827058593E-2"/>
                  <c:y val="-1.21240837453198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4905345883488697E-2"/>
                  <c:y val="6.52152773606001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3,6%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7864048069308639E-3"/>
                  <c:y val="-3.6537765212184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
0,7%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9.7803656547389331E-2"/>
                  <c:y val="-2.10147634765375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  <a:r>
                      <a:rPr lang="ru-RU" baseline="0"/>
                      <a:t>  неналоговые доходы</a:t>
                    </a:r>
                    <a:r>
                      <a:rPr lang="ru-RU"/>
                      <a:t>
1,5%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588485767176171"/>
                  <c:y val="-8.59083719452370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Лист1!$A$31:$A$39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  <c:pt idx="5">
                  <c:v>Штрафы</c:v>
                </c:pt>
              </c:strCache>
            </c:strRef>
          </c:cat>
          <c:val>
            <c:numRef>
              <c:f>Лист1!$C$31:$C$39</c:f>
              <c:numCache>
                <c:formatCode>0.0%</c:formatCode>
                <c:ptCount val="6"/>
                <c:pt idx="0">
                  <c:v>0.23051507196523943</c:v>
                </c:pt>
                <c:pt idx="1">
                  <c:v>0.1550647234543315</c:v>
                </c:pt>
                <c:pt idx="2">
                  <c:v>3.9739295736399019E-2</c:v>
                </c:pt>
                <c:pt idx="3">
                  <c:v>0.53118493708699188</c:v>
                </c:pt>
                <c:pt idx="4">
                  <c:v>3.5801575088259249E-2</c:v>
                </c:pt>
                <c:pt idx="5">
                  <c:v>7.6943966687788535E-3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43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1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384199296658963E-2"/>
          <c:y val="4.3650674073394735E-2"/>
          <c:w val="0.95695123363187173"/>
          <c:h val="0.956349325926605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explosion val="25"/>
          <c:dPt>
            <c:idx val="0"/>
            <c:bubble3D val="0"/>
            <c:explosion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explosion val="39"/>
            <c:spPr>
              <a:solidFill>
                <a:srgbClr val="00B0F0"/>
              </a:solidFill>
            </c:spPr>
          </c:dPt>
          <c:dPt>
            <c:idx val="2"/>
            <c:bubble3D val="0"/>
            <c:explosion val="5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explosion val="0"/>
            <c:spPr>
              <a:solidFill>
                <a:srgbClr val="00B0F0"/>
              </a:solidFill>
            </c:spPr>
          </c:dPt>
          <c:dPt>
            <c:idx val="5"/>
            <c:bubble3D val="0"/>
            <c:explosion val="36"/>
            <c:spPr>
              <a:solidFill>
                <a:schemeClr val="accent6"/>
              </a:solidFill>
            </c:spPr>
          </c:dPt>
          <c:dPt>
            <c:idx val="6"/>
            <c:bubble3D val="0"/>
            <c:explosion val="2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7"/>
            <c:bubble3D val="0"/>
            <c:explosion val="27"/>
            <c:spPr>
              <a:solidFill>
                <a:srgbClr val="FF0000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-6.6517873329600047E-2"/>
                  <c:y val="-1.51609684076348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42,1 %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7007947224724589E-2"/>
                  <c:y val="0.22673820890898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
0,8 %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61566127527287"/>
                  <c:y val="5.80434094116498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12,1 %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234988142483574"/>
                  <c:y val="1.84629684397312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
4,0 %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3643008165645961E-3"/>
                  <c:y val="-7.42921786619855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16,7 %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130817684313484"/>
                  <c:y val="-1.57085724597738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
2,3 %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8.0900684301047618E-2"/>
                  <c:y val="-2.18573275284683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20,5 %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8.0221935853629953E-2"/>
                  <c:y val="5.3541069157610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1,5 %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9.6167067658209385E-2"/>
                  <c:y val="-2.68039789350497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 0,4 %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Национальная безопасность и правоохранительная деятельность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3627.6</c:v>
                </c:pt>
                <c:pt idx="1">
                  <c:v>73.2</c:v>
                </c:pt>
                <c:pt idx="2">
                  <c:v>1041.7</c:v>
                </c:pt>
                <c:pt idx="3">
                  <c:v>343.9</c:v>
                </c:pt>
                <c:pt idx="4">
                  <c:v>1437.2</c:v>
                </c:pt>
                <c:pt idx="5">
                  <c:v>200</c:v>
                </c:pt>
                <c:pt idx="6">
                  <c:v>1766</c:v>
                </c:pt>
                <c:pt idx="7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Национальная безопасность и правоохранительная деятельность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0.42105018803101357</c:v>
                </c:pt>
                <c:pt idx="1">
                  <c:v>8.4962161660244225E-3</c:v>
                </c:pt>
                <c:pt idx="2">
                  <c:v>0.12090858442824647</c:v>
                </c:pt>
                <c:pt idx="3">
                  <c:v>3.9915966386554626E-2</c:v>
                </c:pt>
                <c:pt idx="4">
                  <c:v>0.16681368680068717</c:v>
                </c:pt>
                <c:pt idx="5">
                  <c:v>2.3213705371651426E-2</c:v>
                </c:pt>
                <c:pt idx="6">
                  <c:v>0.20497701843168209</c:v>
                </c:pt>
                <c:pt idx="7">
                  <c:v>1.4624634384140399E-2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5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7969588636090377"/>
          <c:h val="0.94051469831194356"/>
        </c:manualLayout>
      </c:layout>
      <c:pie3DChart>
        <c:varyColors val="1"/>
        <c:ser>
          <c:idx val="0"/>
          <c:order val="0"/>
          <c:explosion val="14"/>
          <c:dPt>
            <c:idx val="0"/>
            <c:bubble3D val="0"/>
            <c:explosion val="0"/>
            <c:spPr>
              <a:solidFill>
                <a:srgbClr val="FFFF00"/>
              </a:solidFill>
            </c:spPr>
          </c:dPt>
          <c:dPt>
            <c:idx val="1"/>
            <c:bubble3D val="0"/>
            <c:explosion val="23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bubble3D val="0"/>
            <c:explosion val="38"/>
          </c:dPt>
          <c:dPt>
            <c:idx val="3"/>
            <c:bubble3D val="0"/>
            <c:explosion val="34"/>
            <c:spPr>
              <a:solidFill>
                <a:srgbClr val="00B0F0"/>
              </a:solidFill>
            </c:spPr>
          </c:dPt>
          <c:dPt>
            <c:idx val="4"/>
            <c:bubble3D val="0"/>
            <c:explosion val="19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7.9435726199953691E-2"/>
                  <c:y val="-0.125347865510832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выплаты персоналу и взносы по  соцстрахованию </a:t>
                    </a:r>
                    <a:r>
                      <a:rPr lang="ru-RU" baseline="0"/>
                      <a:t>61,8 %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0.13889289654807341"/>
                  <c:y val="5.21180777907483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Социальные выплаты 3,8 %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0.11086551944971783"/>
                  <c:y val="2.61839797752466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29,7 %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6.8421986790985989E-2"/>
                  <c:y val="-5.6783338583871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2,1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3.1275483955120212E-2"/>
                  <c:y val="0.310581457296626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 2,6%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2.6455212656716063E-3"/>
                  <c:y val="-8.93017663251892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 </a:t>
                    </a:r>
                  </a:p>
                  <a:p>
                    <a:r>
                      <a:rPr lang="ru-RU"/>
                      <a:t>0,2 %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Лист4!$B$3:$B$7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Социальное обеспечение и иные выплаты населению </c:v>
                </c:pt>
                <c:pt idx="2">
                  <c:v>Закупка для муниципальных нужд</c:v>
                </c:pt>
                <c:pt idx="3">
                  <c:v>Межбюджетные трансферты</c:v>
                </c:pt>
                <c:pt idx="4">
                  <c:v>Иные бюджетные ассигнования</c:v>
                </c:pt>
              </c:strCache>
            </c:strRef>
          </c:cat>
          <c:val>
            <c:numRef>
              <c:f>Лист4!$D$3:$D$7</c:f>
              <c:numCache>
                <c:formatCode>0.0%</c:formatCode>
                <c:ptCount val="5"/>
                <c:pt idx="0">
                  <c:v>0.61763545197084357</c:v>
                </c:pt>
                <c:pt idx="1">
                  <c:v>3.7815126050420166E-2</c:v>
                </c:pt>
                <c:pt idx="2">
                  <c:v>0.29753006174845631</c:v>
                </c:pt>
                <c:pt idx="3">
                  <c:v>2.1403036352662611E-2</c:v>
                </c:pt>
                <c:pt idx="4">
                  <c:v>2.5616323877617343E-2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0DC2C9-366A-43C4-98B9-0097E6E2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7</Pages>
  <Words>1959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Пояснительная записка </vt:lpstr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Пояснительная записка </dc:title>
  <dc:subject/>
  <dc:creator>User</dc:creator>
  <cp:keywords/>
  <cp:lastModifiedBy>Евгения</cp:lastModifiedBy>
  <cp:revision>98</cp:revision>
  <cp:lastPrinted>2018-04-25T12:38:00Z</cp:lastPrinted>
  <dcterms:created xsi:type="dcterms:W3CDTF">2015-12-23T05:33:00Z</dcterms:created>
  <dcterms:modified xsi:type="dcterms:W3CDTF">2020-03-26T06:56:00Z</dcterms:modified>
</cp:coreProperties>
</file>